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0984069C" w14:textId="55F9D185" w:rsidR="004823D4" w:rsidRPr="001A5F3A" w:rsidRDefault="004823D4" w:rsidP="004823D4">
      <w:pPr>
        <w:spacing w:line="320" w:lineRule="exact"/>
        <w:rPr>
          <w:rFonts w:ascii="Arial" w:hAnsi="Arial" w:cs="Arial"/>
          <w:b/>
          <w:bCs/>
          <w:snapToGrid w:val="0"/>
        </w:rPr>
      </w:pPr>
      <w:r w:rsidRPr="00957B21">
        <w:rPr>
          <w:rFonts w:ascii="Arial" w:hAnsi="Arial" w:cs="Arial"/>
          <w:b/>
          <w:bCs/>
          <w:snapToGrid w:val="0"/>
          <w:lang w:val="en-GB"/>
        </w:rPr>
        <w:t>3GPP TSG RAN WG1 #</w:t>
      </w:r>
      <w:r w:rsidR="005839F2">
        <w:rPr>
          <w:rFonts w:ascii="Arial" w:hAnsi="Arial" w:cs="Arial"/>
          <w:b/>
          <w:bCs/>
          <w:snapToGrid w:val="0"/>
          <w:lang w:val="en-GB"/>
        </w:rPr>
        <w:t>113</w:t>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t xml:space="preserve">                            R1-</w:t>
      </w:r>
      <w:r w:rsidR="00442C0C" w:rsidRPr="00957B21">
        <w:rPr>
          <w:rFonts w:ascii="Arial" w:hAnsi="Arial" w:cs="Arial"/>
          <w:b/>
          <w:bCs/>
          <w:snapToGrid w:val="0"/>
        </w:rPr>
        <w:t>2</w:t>
      </w:r>
      <w:r w:rsidR="00442C0C">
        <w:rPr>
          <w:rFonts w:ascii="Arial" w:hAnsi="Arial" w:cs="Arial"/>
          <w:b/>
          <w:bCs/>
          <w:snapToGrid w:val="0"/>
        </w:rPr>
        <w:t>30</w:t>
      </w:r>
      <w:r w:rsidR="005C708D">
        <w:rPr>
          <w:rFonts w:ascii="Arial" w:hAnsi="Arial" w:cs="Arial"/>
          <w:b/>
          <w:bCs/>
          <w:snapToGrid w:val="0"/>
        </w:rPr>
        <w:t>5302</w:t>
      </w:r>
    </w:p>
    <w:p w14:paraId="28FE52B5" w14:textId="7FA2AFFF" w:rsidR="004823D4" w:rsidRPr="006A0944" w:rsidRDefault="005C708D" w:rsidP="004823D4">
      <w:pPr>
        <w:pBdr>
          <w:bottom w:val="single" w:sz="12" w:space="1" w:color="auto"/>
        </w:pBdr>
        <w:spacing w:line="240" w:lineRule="atLeast"/>
        <w:rPr>
          <w:rFonts w:ascii="Arial" w:hAnsi="Arial" w:cs="Arial"/>
          <w:b/>
          <w:bCs/>
          <w:snapToGrid w:val="0"/>
        </w:rPr>
      </w:pPr>
      <w:r>
        <w:rPr>
          <w:rFonts w:ascii="Arial" w:hAnsi="Arial" w:cs="Arial" w:hint="eastAsia"/>
          <w:b/>
          <w:bCs/>
          <w:snapToGrid w:val="0"/>
          <w:lang w:val="en-GB"/>
        </w:rPr>
        <w:t>Incheon, Korea</w:t>
      </w:r>
      <w:r w:rsidR="004823D4">
        <w:rPr>
          <w:rFonts w:ascii="Arial" w:hAnsi="Arial" w:cs="Arial"/>
          <w:b/>
          <w:bCs/>
          <w:snapToGrid w:val="0"/>
          <w:lang w:val="en-GB"/>
        </w:rPr>
        <w:t xml:space="preserve">, </w:t>
      </w:r>
      <w:r>
        <w:rPr>
          <w:rFonts w:ascii="Arial" w:hAnsi="Arial" w:cs="Arial"/>
          <w:b/>
          <w:bCs/>
          <w:snapToGrid w:val="0"/>
          <w:lang w:val="en-GB"/>
        </w:rPr>
        <w:t>May</w:t>
      </w:r>
      <w:r w:rsidR="004823D4" w:rsidRPr="00957B21">
        <w:rPr>
          <w:rFonts w:ascii="Arial" w:hAnsi="Arial" w:cs="Arial"/>
          <w:b/>
          <w:bCs/>
          <w:snapToGrid w:val="0"/>
          <w:lang w:val="en-GB"/>
        </w:rPr>
        <w:t xml:space="preserve"> </w:t>
      </w:r>
      <w:r>
        <w:rPr>
          <w:rFonts w:ascii="Arial" w:hAnsi="Arial" w:cs="Arial"/>
          <w:b/>
          <w:bCs/>
          <w:snapToGrid w:val="0"/>
          <w:lang w:val="en-GB"/>
        </w:rPr>
        <w:t>22</w:t>
      </w:r>
      <w:r w:rsidRPr="005C708D">
        <w:rPr>
          <w:rFonts w:ascii="Arial" w:hAnsi="Arial" w:cs="Arial"/>
          <w:b/>
          <w:bCs/>
          <w:snapToGrid w:val="0"/>
          <w:vertAlign w:val="superscript"/>
          <w:lang w:val="en-GB"/>
        </w:rPr>
        <w:t>nd</w:t>
      </w:r>
      <w:r w:rsidR="004823D4" w:rsidRPr="00957B21">
        <w:rPr>
          <w:rFonts w:ascii="Arial" w:eastAsia="MS Mincho" w:hAnsi="Arial" w:cs="Arial"/>
          <w:b/>
          <w:bCs/>
          <w:lang w:val="en-GB" w:eastAsia="ja-JP"/>
        </w:rPr>
        <w:t xml:space="preserve"> – </w:t>
      </w:r>
      <w:r>
        <w:rPr>
          <w:rFonts w:ascii="Arial" w:eastAsia="MS Mincho" w:hAnsi="Arial" w:cs="Arial"/>
          <w:b/>
          <w:bCs/>
          <w:lang w:val="en-GB" w:eastAsia="ja-JP"/>
        </w:rPr>
        <w:t>May</w:t>
      </w:r>
      <w:r w:rsidR="004823D4">
        <w:rPr>
          <w:rFonts w:ascii="Arial" w:eastAsia="MS Mincho" w:hAnsi="Arial" w:cs="Arial"/>
          <w:b/>
          <w:bCs/>
          <w:lang w:val="en-GB" w:eastAsia="ja-JP"/>
        </w:rPr>
        <w:t xml:space="preserve"> </w:t>
      </w:r>
      <w:r w:rsidR="009D58F9">
        <w:rPr>
          <w:rFonts w:ascii="Arial" w:eastAsia="MS Mincho" w:hAnsi="Arial" w:cs="Arial"/>
          <w:b/>
          <w:bCs/>
          <w:lang w:val="en-GB" w:eastAsia="ja-JP"/>
        </w:rPr>
        <w:t>26</w:t>
      </w:r>
      <w:r w:rsidR="009D58F9" w:rsidRPr="009D58F9">
        <w:rPr>
          <w:rFonts w:ascii="Arial" w:eastAsia="MS Mincho" w:hAnsi="Arial" w:cs="Arial"/>
          <w:b/>
          <w:bCs/>
          <w:vertAlign w:val="superscript"/>
          <w:lang w:val="en-GB" w:eastAsia="ja-JP"/>
        </w:rPr>
        <w:t>th</w:t>
      </w:r>
      <w:r w:rsidR="004823D4" w:rsidRPr="00957B21">
        <w:rPr>
          <w:rFonts w:ascii="Arial" w:eastAsia="MS Mincho" w:hAnsi="Arial" w:cs="Arial"/>
          <w:b/>
          <w:bCs/>
          <w:lang w:val="en-GB" w:eastAsia="ja-JP"/>
        </w:rPr>
        <w:t>, 202</w:t>
      </w:r>
      <w:r w:rsidR="004823D4">
        <w:rPr>
          <w:rFonts w:ascii="Arial" w:eastAsia="MS Mincho" w:hAnsi="Arial" w:cs="Arial"/>
          <w:b/>
          <w:bCs/>
          <w:lang w:val="en-GB" w:eastAsia="ja-JP"/>
        </w:rPr>
        <w:t>3</w:t>
      </w:r>
    </w:p>
    <w:p w14:paraId="260329CA" w14:textId="48D1D57B"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Agenda item:</w:t>
      </w:r>
      <w:r w:rsidRPr="00D949A0">
        <w:rPr>
          <w:rFonts w:ascii="Times New Roman" w:hAnsi="Times New Roman"/>
          <w:b/>
        </w:rPr>
        <w:tab/>
      </w:r>
      <w:r w:rsidR="00173D77">
        <w:rPr>
          <w:rFonts w:ascii="Times New Roman" w:hAnsi="Times New Roman"/>
        </w:rPr>
        <w:t>9.</w:t>
      </w:r>
      <w:r w:rsidR="00E3690D">
        <w:rPr>
          <w:rFonts w:ascii="Times New Roman" w:hAnsi="Times New Roman"/>
        </w:rPr>
        <w:t>10</w:t>
      </w:r>
      <w:r w:rsidR="00957B21">
        <w:rPr>
          <w:rFonts w:ascii="Times New Roman" w:hAnsi="Times New Roman"/>
        </w:rPr>
        <w:t>.1</w:t>
      </w:r>
    </w:p>
    <w:p w14:paraId="6266EABF" w14:textId="7AD3148A" w:rsidR="004A0DEB" w:rsidRPr="00D949A0" w:rsidRDefault="004A0DEB" w:rsidP="000941AD">
      <w:pPr>
        <w:tabs>
          <w:tab w:val="left" w:pos="1985"/>
          <w:tab w:val="left" w:pos="5396"/>
        </w:tabs>
        <w:spacing w:after="120"/>
        <w:rPr>
          <w:rFonts w:ascii="Times New Roman" w:hAnsi="Times New Roman"/>
          <w:b/>
        </w:rPr>
      </w:pPr>
      <w:r w:rsidRPr="00D949A0">
        <w:rPr>
          <w:rFonts w:ascii="Times New Roman" w:hAnsi="Times New Roman"/>
          <w:b/>
        </w:rPr>
        <w:t>Source:</w:t>
      </w:r>
      <w:r w:rsidRPr="00D949A0">
        <w:rPr>
          <w:rFonts w:ascii="Times New Roman" w:hAnsi="Times New Roman"/>
          <w:b/>
        </w:rPr>
        <w:tab/>
      </w:r>
      <w:r w:rsidRPr="00D949A0">
        <w:rPr>
          <w:rFonts w:ascii="Times New Roman" w:hAnsi="Times New Roman"/>
        </w:rPr>
        <w:t>LG Electronics</w:t>
      </w:r>
      <w:r w:rsidR="00F341DB">
        <w:rPr>
          <w:rFonts w:ascii="Times New Roman" w:hAnsi="Times New Roman"/>
        </w:rPr>
        <w:tab/>
      </w:r>
    </w:p>
    <w:p w14:paraId="21487C5A" w14:textId="6EF2FEC6"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Title:</w:t>
      </w:r>
      <w:r w:rsidRPr="00D949A0">
        <w:rPr>
          <w:rFonts w:ascii="Times New Roman" w:hAnsi="Times New Roman"/>
          <w:b/>
        </w:rPr>
        <w:tab/>
      </w:r>
      <w:r w:rsidR="00566E8C">
        <w:rPr>
          <w:rFonts w:ascii="Times New Roman" w:hAnsi="Times New Roman"/>
        </w:rPr>
        <w:t>Enhancements on inter-cell beam management for mobility</w:t>
      </w:r>
    </w:p>
    <w:p w14:paraId="74D74FCD" w14:textId="77777777" w:rsidR="004A0DEB" w:rsidRPr="009F384A" w:rsidRDefault="004A0DEB" w:rsidP="004A0DEB">
      <w:pPr>
        <w:tabs>
          <w:tab w:val="left" w:pos="1985"/>
        </w:tabs>
        <w:spacing w:after="120"/>
        <w:rPr>
          <w:rFonts w:ascii="Times New Roman" w:hAnsi="Times New Roman"/>
          <w:b/>
        </w:rPr>
      </w:pPr>
      <w:r w:rsidRPr="00D949A0">
        <w:rPr>
          <w:rFonts w:ascii="Times New Roman" w:hAnsi="Times New Roman"/>
          <w:b/>
        </w:rPr>
        <w:t>Document for:</w:t>
      </w:r>
      <w:r w:rsidRPr="00D949A0">
        <w:rPr>
          <w:rFonts w:ascii="Times New Roman" w:hAnsi="Times New Roman"/>
          <w:b/>
        </w:rPr>
        <w:tab/>
      </w:r>
      <w:r w:rsidRPr="00D949A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76F39922" w14:textId="265B4ECD" w:rsidR="00957B21" w:rsidRDefault="00957B21"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rFonts w:hint="eastAsia"/>
          <w:b w:val="0"/>
          <w:sz w:val="22"/>
          <w:lang w:val="en-US"/>
        </w:rPr>
        <w:t>In RAN#</w:t>
      </w:r>
      <w:r w:rsidR="009D3CFE">
        <w:rPr>
          <w:b w:val="0"/>
          <w:sz w:val="22"/>
          <w:lang w:val="en-US"/>
        </w:rPr>
        <w:t>94</w:t>
      </w:r>
      <w:r w:rsidRPr="00475EA3">
        <w:rPr>
          <w:rFonts w:hint="eastAsia"/>
          <w:b w:val="0"/>
          <w:sz w:val="22"/>
          <w:lang w:val="en-US"/>
        </w:rPr>
        <w:t xml:space="preserve"> meeting, the </w:t>
      </w:r>
      <w:r w:rsidR="00FB5ED2">
        <w:rPr>
          <w:b w:val="0"/>
          <w:sz w:val="22"/>
          <w:lang w:val="en-US"/>
        </w:rPr>
        <w:t>objectives</w:t>
      </w:r>
      <w:r w:rsidRPr="00475EA3">
        <w:rPr>
          <w:rFonts w:hint="eastAsia"/>
          <w:b w:val="0"/>
          <w:sz w:val="22"/>
          <w:lang w:val="en-US"/>
        </w:rPr>
        <w:t xml:space="preserve"> for </w:t>
      </w:r>
      <w:r w:rsidR="00475EA3" w:rsidRPr="00475EA3">
        <w:rPr>
          <w:b w:val="0"/>
          <w:sz w:val="22"/>
          <w:lang w:val="en-US"/>
        </w:rPr>
        <w:t xml:space="preserve">further </w:t>
      </w:r>
      <w:r w:rsidR="00265A2E">
        <w:rPr>
          <w:b w:val="0"/>
          <w:sz w:val="22"/>
          <w:lang w:val="en-US"/>
        </w:rPr>
        <w:t>NR mobility enhancements</w:t>
      </w:r>
      <w:r w:rsidR="00475EA3" w:rsidRPr="00475EA3">
        <w:rPr>
          <w:b w:val="0"/>
          <w:sz w:val="22"/>
          <w:lang w:val="en-US"/>
        </w:rPr>
        <w:t xml:space="preserve"> w</w:t>
      </w:r>
      <w:r w:rsidR="00E7680B">
        <w:rPr>
          <w:b w:val="0"/>
          <w:sz w:val="22"/>
          <w:lang w:val="en-US"/>
        </w:rPr>
        <w:t>ere</w:t>
      </w:r>
      <w:r w:rsidR="00475EA3" w:rsidRPr="00475EA3">
        <w:rPr>
          <w:b w:val="0"/>
          <w:sz w:val="22"/>
          <w:lang w:val="en-US"/>
        </w:rPr>
        <w:t xml:space="preserve"> approved [1], wh</w:t>
      </w:r>
      <w:r w:rsidR="001C4E9F">
        <w:rPr>
          <w:b w:val="0"/>
          <w:sz w:val="22"/>
          <w:lang w:val="en-US"/>
        </w:rPr>
        <w:t>ich includes</w:t>
      </w:r>
      <w:r w:rsidR="00475EA3" w:rsidRPr="00475EA3">
        <w:rPr>
          <w:b w:val="0"/>
          <w:sz w:val="22"/>
          <w:lang w:val="en-US"/>
        </w:rPr>
        <w:t xml:space="preserve"> the following </w:t>
      </w:r>
      <w:r w:rsidR="00475EA3">
        <w:rPr>
          <w:b w:val="0"/>
          <w:sz w:val="22"/>
          <w:lang w:val="en-US"/>
        </w:rPr>
        <w:t xml:space="preserve">objectives </w:t>
      </w:r>
      <w:r w:rsidR="001C4E9F">
        <w:rPr>
          <w:b w:val="0"/>
          <w:sz w:val="22"/>
          <w:lang w:val="en-US"/>
        </w:rPr>
        <w:t>related to</w:t>
      </w:r>
      <w:r w:rsidR="00475EA3">
        <w:rPr>
          <w:b w:val="0"/>
          <w:sz w:val="22"/>
          <w:lang w:val="en-US"/>
        </w:rPr>
        <w:t xml:space="preserve"> </w:t>
      </w:r>
      <w:r w:rsidR="00265A2E">
        <w:rPr>
          <w:b w:val="0"/>
          <w:sz w:val="22"/>
          <w:lang w:val="en-US"/>
        </w:rPr>
        <w:t>L1 enhancements for inter-cell beam management and timing advance management as</w:t>
      </w:r>
      <w:r w:rsidR="00475EA3">
        <w:rPr>
          <w:b w:val="0"/>
          <w:sz w:val="22"/>
          <w:lang w:val="en-US"/>
        </w:rPr>
        <w:t>:</w:t>
      </w:r>
    </w:p>
    <w:tbl>
      <w:tblPr>
        <w:tblStyle w:val="ad"/>
        <w:tblW w:w="0" w:type="auto"/>
        <w:tblLook w:val="04A0" w:firstRow="1" w:lastRow="0" w:firstColumn="1" w:lastColumn="0" w:noHBand="0" w:noVBand="1"/>
      </w:tblPr>
      <w:tblGrid>
        <w:gridCol w:w="9017"/>
      </w:tblGrid>
      <w:tr w:rsidR="00475EA3" w14:paraId="5107FAC0" w14:textId="77777777" w:rsidTr="00475EA3">
        <w:tc>
          <w:tcPr>
            <w:tcW w:w="9017" w:type="dxa"/>
          </w:tcPr>
          <w:p w14:paraId="4D1AE946" w14:textId="77777777" w:rsidR="00265A2E" w:rsidRPr="00265A2E" w:rsidRDefault="00265A2E" w:rsidP="00442C0C">
            <w:pPr>
              <w:numPr>
                <w:ilvl w:val="0"/>
                <w:numId w:val="10"/>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 xml:space="preserve">To specify mechanism and procedures of </w:t>
            </w:r>
            <w:r w:rsidRPr="00265A2E">
              <w:rPr>
                <w:rFonts w:ascii="Times New Roman" w:eastAsia="맑은 고딕" w:hAnsi="Times New Roman" w:cs="Times New Roman" w:hint="eastAsia"/>
                <w:bCs/>
                <w:sz w:val="20"/>
                <w:szCs w:val="20"/>
                <w:lang w:eastAsia="en-GB"/>
              </w:rPr>
              <w:t>L</w:t>
            </w:r>
            <w:r w:rsidRPr="00265A2E">
              <w:rPr>
                <w:rFonts w:ascii="Times New Roman" w:eastAsia="맑은 고딕" w:hAnsi="Times New Roman" w:cs="Times New Roman"/>
                <w:bCs/>
                <w:sz w:val="20"/>
                <w:szCs w:val="20"/>
                <w:lang w:eastAsia="en-GB"/>
              </w:rPr>
              <w:t>1/L2 based inter-cell mobility for mobility latency reduction:</w:t>
            </w:r>
          </w:p>
          <w:p w14:paraId="1C73F12F"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Configuration and maintenance for multiple candidate cells to allow fast application of configurations for candidate cells [RAN2, RAN3]</w:t>
            </w:r>
          </w:p>
          <w:p w14:paraId="26F847E1"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Dynamic switch mechanism among candidate serving cells (including SpCell and SCell) for the potential applicable scenarios based on L1</w:t>
            </w:r>
            <w:r w:rsidRPr="00265A2E">
              <w:rPr>
                <w:rFonts w:ascii="Times New Roman" w:eastAsia="맑은 고딕" w:hAnsi="Times New Roman" w:cs="Times New Roman" w:hint="eastAsia"/>
                <w:bCs/>
                <w:sz w:val="20"/>
                <w:szCs w:val="20"/>
                <w:lang w:eastAsia="en-GB"/>
              </w:rPr>
              <w:t>/</w:t>
            </w:r>
            <w:r w:rsidRPr="00265A2E">
              <w:rPr>
                <w:rFonts w:ascii="Times New Roman" w:eastAsia="맑은 고딕" w:hAnsi="Times New Roman" w:cs="Times New Roman"/>
                <w:bCs/>
                <w:sz w:val="20"/>
                <w:szCs w:val="20"/>
                <w:lang w:eastAsia="en-GB"/>
              </w:rPr>
              <w:t>L2 signalling [RAN2, RAN1]</w:t>
            </w:r>
          </w:p>
          <w:p w14:paraId="1DEA583C"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 xml:space="preserve">L1 enhancements for inter-cell beam management, including </w:t>
            </w:r>
            <w:r w:rsidRPr="00265A2E">
              <w:rPr>
                <w:rFonts w:ascii="Times New Roman" w:eastAsia="맑은 고딕" w:hAnsi="Times New Roman" w:cs="Times New Roman" w:hint="eastAsia"/>
                <w:bCs/>
                <w:sz w:val="20"/>
                <w:szCs w:val="20"/>
                <w:lang w:eastAsia="en-GB"/>
              </w:rPr>
              <w:t>L</w:t>
            </w:r>
            <w:r w:rsidRPr="00265A2E">
              <w:rPr>
                <w:rFonts w:ascii="Times New Roman" w:eastAsia="맑은 고딕" w:hAnsi="Times New Roman" w:cs="Times New Roman"/>
                <w:bCs/>
                <w:sz w:val="20"/>
                <w:szCs w:val="20"/>
                <w:lang w:eastAsia="en-GB"/>
              </w:rPr>
              <w:t>1 measurement and reporting, and beam indication [RAN1, RAN2]</w:t>
            </w:r>
          </w:p>
          <w:p w14:paraId="4247B2F0" w14:textId="77777777" w:rsidR="00265A2E" w:rsidRPr="00265A2E" w:rsidRDefault="00265A2E" w:rsidP="00442C0C">
            <w:pPr>
              <w:numPr>
                <w:ilvl w:val="1"/>
                <w:numId w:val="11"/>
              </w:numPr>
              <w:overflowPunct w:val="0"/>
              <w:autoSpaceDE w:val="0"/>
              <w:autoSpaceDN w:val="0"/>
              <w:adjustRightInd w:val="0"/>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Note 1: Early RAN2 involvement is necessary, including the possibility of further clarifying the interaction between this bullet with the previous bullet</w:t>
            </w:r>
          </w:p>
          <w:p w14:paraId="53A8836B"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Timing Advance management [RAN1, RAN2]</w:t>
            </w:r>
          </w:p>
          <w:p w14:paraId="02C67EBC"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CU-DU interface signaling to support L1/</w:t>
            </w:r>
            <w:r w:rsidRPr="00265A2E">
              <w:rPr>
                <w:rFonts w:ascii="Times New Roman" w:eastAsia="맑은 고딕" w:hAnsi="Times New Roman" w:cs="Times New Roman" w:hint="eastAsia"/>
                <w:bCs/>
                <w:sz w:val="20"/>
                <w:szCs w:val="20"/>
                <w:lang w:eastAsia="en-GB"/>
              </w:rPr>
              <w:t>L</w:t>
            </w:r>
            <w:r w:rsidRPr="00265A2E">
              <w:rPr>
                <w:rFonts w:ascii="Times New Roman" w:eastAsia="맑은 고딕" w:hAnsi="Times New Roman" w:cs="Times New Roman"/>
                <w:bCs/>
                <w:sz w:val="20"/>
                <w:szCs w:val="20"/>
                <w:lang w:eastAsia="en-GB"/>
              </w:rPr>
              <w:t>2 mobility, if needed [RAN3]</w:t>
            </w:r>
          </w:p>
          <w:p w14:paraId="13F8A421" w14:textId="77777777" w:rsidR="00265A2E" w:rsidRPr="00265A2E" w:rsidRDefault="00265A2E" w:rsidP="00265A2E">
            <w:p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p>
          <w:p w14:paraId="44BD3173" w14:textId="77777777" w:rsidR="00265A2E" w:rsidRPr="00265A2E" w:rsidRDefault="00265A2E" w:rsidP="00265A2E">
            <w:pPr>
              <w:overflowPunct w:val="0"/>
              <w:autoSpaceDE w:val="0"/>
              <w:autoSpaceDN w:val="0"/>
              <w:adjustRightInd w:val="0"/>
              <w:ind w:left="720"/>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Note 2: FR2 specific enhancements are not precluded, if any.</w:t>
            </w:r>
          </w:p>
          <w:p w14:paraId="291EE0BF" w14:textId="77777777" w:rsidR="00265A2E" w:rsidRPr="00265A2E" w:rsidRDefault="00265A2E" w:rsidP="00265A2E">
            <w:pPr>
              <w:overflowPunct w:val="0"/>
              <w:autoSpaceDE w:val="0"/>
              <w:autoSpaceDN w:val="0"/>
              <w:adjustRightInd w:val="0"/>
              <w:ind w:left="720"/>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Note 3: The procedure of L1/L2 based inter-cell mobility are applicable to the following scenarios:</w:t>
            </w:r>
          </w:p>
          <w:p w14:paraId="20A0BC4E" w14:textId="77777777" w:rsidR="00265A2E"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Standalone, CA and NR-DC case with serving cell change within one CG</w:t>
            </w:r>
          </w:p>
          <w:p w14:paraId="5164C9A9" w14:textId="77777777" w:rsidR="00265A2E"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Intra-DU case and intra-CU inter-DU case (applicable for Standalone and CA: no new RAN interfaces are expected)</w:t>
            </w:r>
          </w:p>
          <w:p w14:paraId="2299439E" w14:textId="77777777" w:rsidR="00265A2E"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Both intra-frequency and inter-frequency</w:t>
            </w:r>
          </w:p>
          <w:p w14:paraId="6CC3DB76" w14:textId="77777777" w:rsidR="00265A2E"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Both FR1 and FR2</w:t>
            </w:r>
          </w:p>
          <w:p w14:paraId="0E403A44" w14:textId="0A38803D" w:rsidR="00475EA3"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Source and target cells may be synchronized or non-synchronized</w:t>
            </w:r>
          </w:p>
        </w:tc>
      </w:tr>
    </w:tbl>
    <w:p w14:paraId="30441C51" w14:textId="40087975" w:rsidR="00475EA3" w:rsidRPr="00475EA3" w:rsidRDefault="00475EA3" w:rsidP="00475EA3">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In this contribution, we discuss </w:t>
      </w:r>
      <w:r>
        <w:rPr>
          <w:b w:val="0"/>
          <w:sz w:val="22"/>
          <w:lang w:val="en-US"/>
        </w:rPr>
        <w:t xml:space="preserve">potential enhancements on </w:t>
      </w:r>
      <w:r w:rsidR="0004227F">
        <w:rPr>
          <w:b w:val="0"/>
          <w:sz w:val="22"/>
          <w:lang w:val="en-US"/>
        </w:rPr>
        <w:t>L1/L2 triggered inter-cell mobility (LTM)</w:t>
      </w:r>
      <w:r>
        <w:rPr>
          <w:b w:val="0"/>
          <w:sz w:val="22"/>
          <w:lang w:val="en-US"/>
        </w:rPr>
        <w:t>.</w:t>
      </w:r>
    </w:p>
    <w:p w14:paraId="27B63040" w14:textId="7A11DF69" w:rsidR="001E74D3" w:rsidRPr="004A106E" w:rsidRDefault="001C4E9F" w:rsidP="00442C0C">
      <w:pPr>
        <w:pStyle w:val="1"/>
        <w:numPr>
          <w:ilvl w:val="0"/>
          <w:numId w:val="9"/>
        </w:numPr>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32AA1064" w14:textId="69A611E3" w:rsidR="004F44A5" w:rsidRPr="00F744B0" w:rsidRDefault="004F44A5" w:rsidP="004F44A5">
      <w:pPr>
        <w:pStyle w:val="2"/>
      </w:pPr>
      <w:r>
        <w:rPr>
          <w:rFonts w:ascii="Times New Roman" w:hAnsi="Times New Roman" w:cs="Times New Roman"/>
          <w:i w:val="0"/>
        </w:rPr>
        <w:t>L1 measurement RS</w:t>
      </w:r>
      <w:r w:rsidR="00BB0DED">
        <w:rPr>
          <w:rFonts w:ascii="Times New Roman" w:hAnsi="Times New Roman" w:cs="Times New Roman"/>
          <w:i w:val="0"/>
        </w:rPr>
        <w:t>/configuration</w:t>
      </w:r>
    </w:p>
    <w:p w14:paraId="4EA28611" w14:textId="5D99A043" w:rsidR="004F44A5" w:rsidRDefault="004F44A5" w:rsidP="004F44A5">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Regarding L1 measurement RS, the following agreement was made in RAN1#110bis-e where SSB is supported for L1 intra-/inter-frequency measurement.</w:t>
      </w:r>
      <w:r w:rsidR="00BB0DED">
        <w:rPr>
          <w:b w:val="0"/>
          <w:sz w:val="22"/>
          <w:lang w:val="en-US"/>
        </w:rPr>
        <w:t xml:space="preserve"> In addition, for L1-RSRP measurement RS configuration was agreed in RAN1#112 at least for SSB considering the detailed design of RRC structure is up to RAN2 as follows.</w:t>
      </w:r>
    </w:p>
    <w:tbl>
      <w:tblPr>
        <w:tblStyle w:val="ad"/>
        <w:tblW w:w="0" w:type="auto"/>
        <w:tblLook w:val="04A0" w:firstRow="1" w:lastRow="0" w:firstColumn="1" w:lastColumn="0" w:noHBand="0" w:noVBand="1"/>
      </w:tblPr>
      <w:tblGrid>
        <w:gridCol w:w="9017"/>
      </w:tblGrid>
      <w:tr w:rsidR="004F44A5" w14:paraId="4A768347" w14:textId="77777777" w:rsidTr="00005DF7">
        <w:tc>
          <w:tcPr>
            <w:tcW w:w="9017" w:type="dxa"/>
          </w:tcPr>
          <w:p w14:paraId="4BFE173C" w14:textId="77777777" w:rsidR="004F44A5" w:rsidRPr="00BE100F" w:rsidRDefault="004F44A5" w:rsidP="00005DF7">
            <w:pPr>
              <w:jc w:val="both"/>
              <w:rPr>
                <w:sz w:val="20"/>
                <w:szCs w:val="20"/>
              </w:rPr>
            </w:pPr>
            <w:r w:rsidRPr="00BE100F">
              <w:rPr>
                <w:rFonts w:ascii="Times New Roman" w:eastAsia="MS Gothic" w:hAnsi="Times New Roman" w:cs="Times New Roman"/>
                <w:color w:val="000000"/>
                <w:kern w:val="24"/>
                <w:sz w:val="20"/>
                <w:szCs w:val="20"/>
                <w:highlight w:val="green"/>
                <w:lang w:val="en-GB"/>
              </w:rPr>
              <w:t>Agreement</w:t>
            </w:r>
            <w:r w:rsidRPr="00BE100F">
              <w:rPr>
                <w:rFonts w:ascii="Times New Roman" w:eastAsia="MS Gothic" w:hAnsi="Times New Roman" w:cs="Times New Roman"/>
                <w:color w:val="000000"/>
                <w:kern w:val="24"/>
                <w:sz w:val="20"/>
                <w:szCs w:val="20"/>
                <w:lang w:val="en-GB"/>
              </w:rPr>
              <w:t xml:space="preserve"> </w:t>
            </w:r>
          </w:p>
          <w:p w14:paraId="6DCE4990" w14:textId="77777777" w:rsidR="004F44A5" w:rsidRPr="00BE100F" w:rsidRDefault="004F44A5" w:rsidP="00005DF7">
            <w:pPr>
              <w:jc w:val="both"/>
              <w:rPr>
                <w:sz w:val="20"/>
                <w:szCs w:val="20"/>
              </w:rPr>
            </w:pPr>
            <w:r w:rsidRPr="00BE100F">
              <w:rPr>
                <w:rFonts w:ascii="Times New Roman" w:eastAsia="MS Gothic" w:hAnsi="Times New Roman" w:cs="Times New Roman"/>
                <w:color w:val="000000"/>
                <w:kern w:val="24"/>
                <w:sz w:val="20"/>
                <w:szCs w:val="20"/>
                <w:lang w:val="en-GB"/>
              </w:rPr>
              <w:lastRenderedPageBreak/>
              <w:t>For Rel-18 L1/L2 mobility,</w:t>
            </w:r>
          </w:p>
          <w:p w14:paraId="1DE90151" w14:textId="77777777" w:rsidR="004F44A5" w:rsidRPr="00BE100F" w:rsidRDefault="004F44A5" w:rsidP="00005DF7">
            <w:pPr>
              <w:pStyle w:val="a4"/>
              <w:numPr>
                <w:ilvl w:val="0"/>
                <w:numId w:val="13"/>
              </w:numPr>
              <w:jc w:val="both"/>
              <w:rPr>
                <w:sz w:val="20"/>
                <w:szCs w:val="20"/>
              </w:rPr>
            </w:pPr>
            <w:r w:rsidRPr="00BE100F">
              <w:rPr>
                <w:rFonts w:ascii="Times New Roman" w:eastAsia="바탕" w:hAnsi="Times New Roman" w:cs="Times New Roman"/>
                <w:color w:val="000000"/>
                <w:kern w:val="24"/>
                <w:sz w:val="20"/>
                <w:szCs w:val="20"/>
                <w:lang w:val="en-GB"/>
              </w:rPr>
              <w:t>SSB is supported for L1 intra-frequency</w:t>
            </w:r>
            <w:r w:rsidRPr="00BE100F">
              <w:rPr>
                <w:rFonts w:ascii="Times New Roman" w:eastAsia="바탕" w:hAnsi="Times New Roman" w:cs="Times New Roman"/>
                <w:color w:val="FF0000"/>
                <w:kern w:val="24"/>
                <w:sz w:val="20"/>
                <w:szCs w:val="20"/>
                <w:lang w:val="en-GB"/>
              </w:rPr>
              <w:t xml:space="preserve"> </w:t>
            </w:r>
            <w:r w:rsidRPr="00BE100F">
              <w:rPr>
                <w:rFonts w:ascii="Times New Roman" w:eastAsia="바탕" w:hAnsi="Times New Roman" w:cs="Times New Roman"/>
                <w:color w:val="000000"/>
                <w:kern w:val="24"/>
                <w:sz w:val="20"/>
                <w:szCs w:val="20"/>
                <w:lang w:val="en-GB"/>
              </w:rPr>
              <w:t>measurement</w:t>
            </w:r>
          </w:p>
          <w:p w14:paraId="0EE43867" w14:textId="77777777" w:rsidR="004F44A5" w:rsidRPr="00BE100F" w:rsidRDefault="004F44A5" w:rsidP="00005DF7">
            <w:pPr>
              <w:pStyle w:val="a4"/>
              <w:numPr>
                <w:ilvl w:val="0"/>
                <w:numId w:val="13"/>
              </w:numPr>
              <w:jc w:val="both"/>
              <w:rPr>
                <w:sz w:val="20"/>
                <w:szCs w:val="20"/>
              </w:rPr>
            </w:pPr>
            <w:r w:rsidRPr="00BE100F">
              <w:rPr>
                <w:rFonts w:ascii="Times New Roman" w:eastAsia="바탕" w:hAnsi="Times New Roman" w:cs="Times New Roman"/>
                <w:color w:val="000000"/>
                <w:kern w:val="24"/>
                <w:sz w:val="20"/>
                <w:szCs w:val="20"/>
                <w:lang w:val="en-GB"/>
              </w:rPr>
              <w:t>SSB is supported for L1 inter-frequency measurement if inter-frequency L1 measurements are supported</w:t>
            </w:r>
          </w:p>
          <w:p w14:paraId="64546ED4" w14:textId="77777777" w:rsidR="004F44A5" w:rsidRPr="00BE100F" w:rsidRDefault="004F44A5" w:rsidP="00005DF7">
            <w:pPr>
              <w:jc w:val="both"/>
              <w:rPr>
                <w:sz w:val="20"/>
                <w:szCs w:val="20"/>
              </w:rPr>
            </w:pPr>
            <w:r w:rsidRPr="00BE100F">
              <w:rPr>
                <w:rFonts w:ascii="Times New Roman" w:eastAsia="MS Gothic" w:hAnsi="Times New Roman" w:cs="Times New Roman"/>
                <w:color w:val="000000"/>
                <w:kern w:val="24"/>
                <w:sz w:val="20"/>
                <w:szCs w:val="20"/>
                <w:lang w:val="en-GB"/>
              </w:rPr>
              <w:t>Further study the following L1 measurement RS for candidate cell</w:t>
            </w:r>
          </w:p>
          <w:p w14:paraId="59AA5294" w14:textId="77777777" w:rsidR="004F44A5" w:rsidRDefault="004F44A5" w:rsidP="00005DF7">
            <w:pPr>
              <w:pStyle w:val="a4"/>
              <w:numPr>
                <w:ilvl w:val="0"/>
                <w:numId w:val="13"/>
              </w:numPr>
              <w:jc w:val="both"/>
              <w:rPr>
                <w:rFonts w:ascii="Times New Roman" w:eastAsia="바탕" w:hAnsi="Times New Roman" w:cs="Times New Roman"/>
                <w:color w:val="000000"/>
                <w:kern w:val="24"/>
                <w:sz w:val="20"/>
                <w:szCs w:val="20"/>
                <w:lang w:val="en-GB"/>
              </w:rPr>
            </w:pPr>
            <w:r w:rsidRPr="00BE100F">
              <w:rPr>
                <w:rFonts w:ascii="Times New Roman" w:eastAsia="바탕" w:hAnsi="Times New Roman" w:cs="Times New Roman"/>
                <w:color w:val="000000"/>
                <w:kern w:val="24"/>
                <w:sz w:val="20"/>
                <w:szCs w:val="20"/>
                <w:lang w:val="en-GB"/>
              </w:rPr>
              <w:t xml:space="preserve">CSI-RS for tracking, beam management, CSI and mobility, CSI-IM, which is for L1 intra-frequency and L1 inter-frequency (if supported) </w:t>
            </w:r>
          </w:p>
          <w:p w14:paraId="5029AF9F" w14:textId="77777777" w:rsidR="00BB0DED" w:rsidRDefault="00BB0DED" w:rsidP="00BB0DED">
            <w:pPr>
              <w:jc w:val="both"/>
              <w:rPr>
                <w:rFonts w:ascii="Times New Roman" w:eastAsia="바탕" w:hAnsi="Times New Roman" w:cs="Times New Roman"/>
                <w:color w:val="000000"/>
                <w:kern w:val="24"/>
                <w:sz w:val="20"/>
                <w:szCs w:val="20"/>
                <w:lang w:val="en-GB"/>
              </w:rPr>
            </w:pPr>
          </w:p>
          <w:p w14:paraId="289A1274" w14:textId="77777777" w:rsidR="00BB0DED" w:rsidRPr="00BB0DED" w:rsidRDefault="00BB0DED" w:rsidP="00BB0DED">
            <w:pPr>
              <w:rPr>
                <w:rFonts w:ascii="DengXian Light" w:eastAsia="바탕" w:hAnsi="DengXian Light" w:cs="Times New Roman"/>
                <w:sz w:val="20"/>
                <w:szCs w:val="22"/>
                <w:highlight w:val="green"/>
                <w:lang w:val="en-GB" w:eastAsia="ja-JP"/>
              </w:rPr>
            </w:pPr>
            <w:r w:rsidRPr="00BB0DED">
              <w:rPr>
                <w:rFonts w:ascii="Times" w:eastAsia="바탕" w:hAnsi="Times" w:cs="Times New Roman"/>
                <w:sz w:val="20"/>
                <w:highlight w:val="green"/>
                <w:lang w:val="en-GB" w:eastAsia="en-US"/>
              </w:rPr>
              <w:t>Agreement</w:t>
            </w:r>
          </w:p>
          <w:p w14:paraId="39C2B545" w14:textId="77777777" w:rsidR="00BB0DED" w:rsidRPr="00BB0DED" w:rsidRDefault="00BB0DED" w:rsidP="00BB0DED">
            <w:pPr>
              <w:numPr>
                <w:ilvl w:val="0"/>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For L1-RSRP measurement RS configuration</w:t>
            </w:r>
          </w:p>
          <w:p w14:paraId="7DB0FCB1" w14:textId="77777777" w:rsidR="00BB0DED" w:rsidRPr="00BB0DED" w:rsidRDefault="00BB0DED" w:rsidP="00BB0DED">
            <w:pPr>
              <w:numPr>
                <w:ilvl w:val="1"/>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 xml:space="preserve">For SSB based L1-RSRP measurement: </w:t>
            </w:r>
          </w:p>
          <w:p w14:paraId="09DB1055" w14:textId="77777777" w:rsidR="00BB0DED" w:rsidRPr="00BB0DED" w:rsidRDefault="00BB0DED" w:rsidP="00BB0DED">
            <w:pPr>
              <w:numPr>
                <w:ilvl w:val="2"/>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As a starting point, at least the following information needs to be provided to a UE, e.g.</w:t>
            </w:r>
          </w:p>
          <w:p w14:paraId="340E5470" w14:textId="77777777" w:rsidR="00BB0DED" w:rsidRPr="00BB0DED" w:rsidRDefault="00BB0DED" w:rsidP="00BB0DED">
            <w:pPr>
              <w:numPr>
                <w:ilvl w:val="3"/>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 xml:space="preserve">For intra- and inter- frequency: PCI or logical ID (e.g., as being defined in R17 ICBM), time domain (e.g. SMTC or periodicity and SSB position in burst) </w:t>
            </w:r>
          </w:p>
          <w:p w14:paraId="24CA1213" w14:textId="77777777" w:rsidR="00BB0DED" w:rsidRPr="00BB0DED" w:rsidRDefault="00BB0DED" w:rsidP="00BB0DED">
            <w:pPr>
              <w:numPr>
                <w:ilvl w:val="3"/>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For inter-frequency: frequency domain location (e.g. center frequency), SCS</w:t>
            </w:r>
          </w:p>
          <w:p w14:paraId="77241E05" w14:textId="77777777" w:rsidR="00BB0DED" w:rsidRPr="00BB0DED" w:rsidRDefault="00BB0DED" w:rsidP="00BB0DED">
            <w:pPr>
              <w:numPr>
                <w:ilvl w:val="3"/>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FFS: transmission power (for pathloss calculation)</w:t>
            </w:r>
          </w:p>
          <w:p w14:paraId="3FA08BB8" w14:textId="77777777" w:rsidR="00BB0DED" w:rsidRPr="00BB0DED" w:rsidRDefault="00BB0DED" w:rsidP="00BB0DED">
            <w:pPr>
              <w:numPr>
                <w:ilvl w:val="2"/>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Note: other parameters included in the configuration can be further discussed</w:t>
            </w:r>
          </w:p>
          <w:p w14:paraId="0D1CECE3" w14:textId="77777777" w:rsidR="00BB0DED" w:rsidRPr="00BB0DED" w:rsidRDefault="00BB0DED" w:rsidP="00BB0DED">
            <w:pPr>
              <w:numPr>
                <w:ilvl w:val="2"/>
                <w:numId w:val="24"/>
              </w:numPr>
              <w:snapToGrid w:val="0"/>
              <w:spacing w:after="100" w:afterAutospacing="1"/>
              <w:jc w:val="both"/>
              <w:rPr>
                <w:rFonts w:ascii="Times" w:eastAsia="바탕" w:hAnsi="Times" w:cs="Times New Roman"/>
                <w:sz w:val="20"/>
                <w:lang w:val="en-GB" w:eastAsia="en-US"/>
              </w:rPr>
            </w:pPr>
            <w:r w:rsidRPr="00BB0DED">
              <w:rPr>
                <w:rFonts w:ascii="Times" w:eastAsia="DengXian" w:hAnsi="Times" w:cs="Times New Roman" w:hint="eastAsia"/>
                <w:sz w:val="20"/>
                <w:lang w:val="en-GB" w:eastAsia="zh-CN"/>
              </w:rPr>
              <w:t>I</w:t>
            </w:r>
            <w:r w:rsidRPr="00BB0DED">
              <w:rPr>
                <w:rFonts w:ascii="Times" w:eastAsia="DengXian" w:hAnsi="Times" w:cs="Times New Roman"/>
                <w:sz w:val="20"/>
                <w:lang w:val="en-GB" w:eastAsia="zh-CN"/>
              </w:rPr>
              <w:t>ncluding above agreement into the LS</w:t>
            </w:r>
          </w:p>
          <w:p w14:paraId="29B8682E" w14:textId="77777777" w:rsidR="00BB0DED" w:rsidRPr="00BB0DED" w:rsidRDefault="00BB0DED" w:rsidP="00BB0DED">
            <w:pPr>
              <w:numPr>
                <w:ilvl w:val="1"/>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 xml:space="preserve">The detailed design of RRC structure is up to RAN2, and send an LS to RAN2 to request to work on the RRC structure design on the measurement configuration. </w:t>
            </w:r>
          </w:p>
          <w:p w14:paraId="22816A87" w14:textId="77777777" w:rsidR="00BB0DED" w:rsidRPr="00BB0DED" w:rsidRDefault="00BB0DED" w:rsidP="00BB0DED">
            <w:pPr>
              <w:numPr>
                <w:ilvl w:val="2"/>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Following RAN1 understanding will be provided in the LS</w:t>
            </w:r>
          </w:p>
          <w:p w14:paraId="59E09143" w14:textId="77777777" w:rsidR="00BB0DED" w:rsidRPr="00BB0DED" w:rsidRDefault="00BB0DED" w:rsidP="00BB0DED">
            <w:pPr>
              <w:numPr>
                <w:ilvl w:val="3"/>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 xml:space="preserve">RAN1 has discussed the following configuration options for L1 measurement configurations for SSB till RAN1#112: </w:t>
            </w:r>
          </w:p>
          <w:p w14:paraId="1731977A" w14:textId="77777777" w:rsidR="00BB0DED" w:rsidRPr="00BB0DED" w:rsidRDefault="00BB0DED" w:rsidP="00BB0DED">
            <w:pPr>
              <w:numPr>
                <w:ilvl w:val="4"/>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Option 1) Configurations for L1 measurement RS is provided under ServingCellConfig for the serving cells</w:t>
            </w:r>
          </w:p>
          <w:p w14:paraId="648CD884" w14:textId="77777777" w:rsidR="00BB0DED" w:rsidRPr="00BB0DED" w:rsidRDefault="00BB0DED" w:rsidP="00BB0DED">
            <w:pPr>
              <w:numPr>
                <w:ilvl w:val="5"/>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is useful to reuses the mechanism for Rel-17 ICBM and necessary information to support inter-frequency measurement will be added there.</w:t>
            </w:r>
          </w:p>
          <w:p w14:paraId="0A5B3ECF" w14:textId="77777777" w:rsidR="00BB0DED" w:rsidRPr="00BB0DED" w:rsidRDefault="00BB0DED" w:rsidP="00BB0DED">
            <w:pPr>
              <w:numPr>
                <w:ilvl w:val="4"/>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Option 2) Configurations for L1 measurement RS is provided separately from ServingCellConfig for the serving cells and CellGroupConfig for the candidate cells</w:t>
            </w:r>
          </w:p>
          <w:p w14:paraId="69855287" w14:textId="77777777" w:rsidR="00BB0DED" w:rsidRPr="00BB0DED" w:rsidRDefault="00BB0DED" w:rsidP="00BB0DED">
            <w:pPr>
              <w:numPr>
                <w:ilvl w:val="5"/>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 xml:space="preserve">is useful to avoid the duplicated configurations for L1 measurement RSs, [and avoid UE to process configurations </w:t>
            </w:r>
            <w:r w:rsidRPr="00BB0DED">
              <w:rPr>
                <w:rFonts w:ascii="Times" w:eastAsia="바탕" w:hAnsi="Times" w:cs="Times New Roman"/>
                <w:strike/>
                <w:sz w:val="20"/>
                <w:lang w:val="en-GB" w:eastAsia="en-US"/>
              </w:rPr>
              <w:t>for L1 measurement RS</w:t>
            </w:r>
            <w:r w:rsidRPr="00BB0DED">
              <w:rPr>
                <w:rFonts w:ascii="Times" w:eastAsia="바탕" w:hAnsi="Times" w:cs="Times New Roman"/>
                <w:sz w:val="20"/>
                <w:lang w:val="en-GB" w:eastAsia="en-US"/>
              </w:rPr>
              <w:t xml:space="preserve"> provided under CellGroupConfig for the candidate cells]</w:t>
            </w:r>
          </w:p>
          <w:p w14:paraId="3ABC0240" w14:textId="77777777" w:rsidR="00BB0DED" w:rsidRPr="00BB0DED" w:rsidRDefault="00BB0DED" w:rsidP="00BB0DED">
            <w:pPr>
              <w:numPr>
                <w:ilvl w:val="4"/>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Option 3) Configurations for L1 measurement RS is provided under CellGroupConfig for the candidate cells</w:t>
            </w:r>
          </w:p>
          <w:p w14:paraId="59AF18BB" w14:textId="77777777" w:rsidR="00BB0DED" w:rsidRPr="00BB0DED" w:rsidRDefault="00BB0DED" w:rsidP="00BB0DED">
            <w:pPr>
              <w:numPr>
                <w:ilvl w:val="5"/>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 xml:space="preserve">can achieve the similar benefit as Option 2) by directly referring to the candidate cell configurations. </w:t>
            </w:r>
          </w:p>
          <w:p w14:paraId="2D54A2B7" w14:textId="77777777" w:rsidR="00BB0DED" w:rsidRPr="00BB0DED" w:rsidRDefault="00BB0DED" w:rsidP="00BB0DED">
            <w:pPr>
              <w:numPr>
                <w:ilvl w:val="3"/>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Note RAN2 has a full flexibility to design the whole RRC structure design.</w:t>
            </w:r>
          </w:p>
          <w:p w14:paraId="5EEFB538" w14:textId="77777777" w:rsidR="00BB0DED" w:rsidRDefault="00BB0DED" w:rsidP="00BB0DED">
            <w:pPr>
              <w:numPr>
                <w:ilvl w:val="3"/>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 xml:space="preserve">RAN1 believes this is RAN2 expert region, and respectfully asks RAN2 to finalize the RRC structure design after RAN1 finalizes the discussion on RRC parameters. </w:t>
            </w:r>
          </w:p>
          <w:p w14:paraId="162CA9B0" w14:textId="2D0807A7" w:rsidR="00BB0DED" w:rsidRPr="00BB0DED" w:rsidRDefault="00BB0DED" w:rsidP="00BB0DED">
            <w:pPr>
              <w:numPr>
                <w:ilvl w:val="3"/>
                <w:numId w:val="24"/>
              </w:numPr>
              <w:snapToGrid w:val="0"/>
              <w:spacing w:after="100" w:afterAutospacing="1"/>
              <w:jc w:val="both"/>
              <w:rPr>
                <w:rFonts w:ascii="Times" w:eastAsia="바탕" w:hAnsi="Times" w:cs="Times New Roman"/>
                <w:sz w:val="20"/>
                <w:lang w:val="en-GB" w:eastAsia="en-US"/>
              </w:rPr>
            </w:pPr>
            <w:r w:rsidRPr="00BB0DED">
              <w:rPr>
                <w:rFonts w:ascii="Times" w:eastAsia="바탕" w:hAnsi="Times" w:cs="Times New Roman"/>
                <w:sz w:val="20"/>
                <w:lang w:val="en-GB" w:eastAsia="en-US"/>
              </w:rPr>
              <w:t>It is noted that RAN1 foresees the necessity of similar discussions on TCI state pool for candidate cells and L1 measurement report configurations.</w:t>
            </w:r>
          </w:p>
        </w:tc>
      </w:tr>
    </w:tbl>
    <w:p w14:paraId="3F97196E" w14:textId="55DA8845" w:rsidR="004F44A5" w:rsidRDefault="00BB0DED" w:rsidP="004F44A5">
      <w:pPr>
        <w:pStyle w:val="LGTdoc1"/>
        <w:snapToGrid/>
        <w:spacing w:beforeLines="0" w:before="100" w:beforeAutospacing="1" w:after="0" w:afterAutospacing="0" w:line="360" w:lineRule="auto"/>
        <w:contextualSpacing/>
        <w:rPr>
          <w:b w:val="0"/>
          <w:sz w:val="22"/>
          <w:lang w:val="en-US"/>
        </w:rPr>
      </w:pPr>
      <w:r>
        <w:rPr>
          <w:b w:val="0"/>
          <w:sz w:val="22"/>
          <w:lang w:val="en-US"/>
        </w:rPr>
        <w:lastRenderedPageBreak/>
        <w:t>T</w:t>
      </w:r>
      <w:r w:rsidR="004F44A5">
        <w:rPr>
          <w:b w:val="0"/>
          <w:sz w:val="22"/>
          <w:lang w:val="en-US"/>
        </w:rPr>
        <w:t xml:space="preserve">he introduction of CSI-RS was also discussed </w:t>
      </w:r>
      <w:r>
        <w:rPr>
          <w:b w:val="0"/>
          <w:sz w:val="22"/>
          <w:lang w:val="en-US"/>
        </w:rPr>
        <w:t xml:space="preserve">in the last meeting </w:t>
      </w:r>
      <w:r w:rsidR="004F44A5">
        <w:rPr>
          <w:b w:val="0"/>
          <w:sz w:val="22"/>
          <w:lang w:val="en-US"/>
        </w:rPr>
        <w:t xml:space="preserve">but did not make a progress due to the lack of time. Based on SSB to facilitate measurement and reporting of candidate cell RS, configuring mobility CSI-RS as a reference RS in QCL information can be beneficial because the mobility CSI-RS can have a relatively narrower beam and a more flexible configuration compared to those of SSB. </w:t>
      </w:r>
      <w:r w:rsidR="00F629BD">
        <w:rPr>
          <w:b w:val="0"/>
          <w:sz w:val="22"/>
          <w:lang w:val="en-US"/>
        </w:rPr>
        <w:t xml:space="preserve">In addition, L1-SINR with channel measurement and interference measurement using CSI-RS has been discussed to introduce as a measurement quantity not only with L1-RSRP where the benefit of L1-SINR can be achieved </w:t>
      </w:r>
      <w:r w:rsidR="009B113D">
        <w:rPr>
          <w:b w:val="0"/>
          <w:sz w:val="22"/>
          <w:lang w:val="en-US"/>
        </w:rPr>
        <w:t xml:space="preserve">by </w:t>
      </w:r>
      <w:r w:rsidR="00F629BD">
        <w:rPr>
          <w:b w:val="0"/>
          <w:sz w:val="22"/>
          <w:lang w:val="en-US"/>
        </w:rPr>
        <w:t>CSI-RS</w:t>
      </w:r>
      <w:r w:rsidR="009B113D">
        <w:rPr>
          <w:b w:val="0"/>
          <w:sz w:val="22"/>
          <w:lang w:val="en-US"/>
        </w:rPr>
        <w:t>. To this end, it can be supported to configured CSI-RS associated with serving/candidate cells for both L1 intra-/inter-frequency measurement.</w:t>
      </w:r>
    </w:p>
    <w:p w14:paraId="22B75440" w14:textId="77777777" w:rsidR="004F44A5" w:rsidRDefault="004F44A5" w:rsidP="004F44A5">
      <w:pPr>
        <w:pStyle w:val="LGTdoc1"/>
        <w:snapToGrid/>
        <w:spacing w:beforeLines="0" w:before="100" w:beforeAutospacing="1" w:line="360" w:lineRule="auto"/>
        <w:contextualSpacing/>
        <w:rPr>
          <w:sz w:val="22"/>
        </w:rPr>
      </w:pPr>
    </w:p>
    <w:p w14:paraId="519B519A" w14:textId="42F21DF8" w:rsidR="005C1D56" w:rsidRDefault="004F44A5" w:rsidP="004F44A5">
      <w:pPr>
        <w:pStyle w:val="LGTdoc1"/>
        <w:snapToGrid/>
        <w:spacing w:beforeLines="0" w:before="100" w:beforeAutospacing="1" w:line="360" w:lineRule="auto"/>
        <w:contextualSpacing/>
        <w:rPr>
          <w:sz w:val="22"/>
        </w:rPr>
      </w:pPr>
      <w:r>
        <w:rPr>
          <w:sz w:val="22"/>
        </w:rPr>
        <w:lastRenderedPageBreak/>
        <w:t>Proposal #</w:t>
      </w:r>
      <w:r w:rsidR="00C00702">
        <w:rPr>
          <w:sz w:val="22"/>
        </w:rPr>
        <w:t>1</w:t>
      </w:r>
      <w:r>
        <w:rPr>
          <w:sz w:val="22"/>
        </w:rPr>
        <w:t xml:space="preserve">. Support configuring </w:t>
      </w:r>
      <w:r w:rsidR="005C1D56">
        <w:rPr>
          <w:sz w:val="22"/>
        </w:rPr>
        <w:t>CSI-RS associated with serving cells and candidate cells for both L1 intra- and inter- frequency measurement</w:t>
      </w:r>
    </w:p>
    <w:p w14:paraId="6E27D312" w14:textId="3C5290EB" w:rsidR="004F44A5" w:rsidRPr="004F44A5" w:rsidRDefault="005C1D56" w:rsidP="00886F44">
      <w:pPr>
        <w:pStyle w:val="LGTdoc1"/>
        <w:numPr>
          <w:ilvl w:val="0"/>
          <w:numId w:val="16"/>
        </w:numPr>
        <w:snapToGrid/>
        <w:spacing w:line="360" w:lineRule="auto"/>
        <w:contextualSpacing/>
        <w:rPr>
          <w:sz w:val="22"/>
        </w:rPr>
      </w:pPr>
      <w:r>
        <w:rPr>
          <w:sz w:val="22"/>
        </w:rPr>
        <w:t xml:space="preserve">At least for </w:t>
      </w:r>
      <w:r w:rsidR="004F44A5">
        <w:rPr>
          <w:sz w:val="22"/>
        </w:rPr>
        <w:t>mobility CSI-RS as a reference RS in QCL information for LTM.</w:t>
      </w:r>
    </w:p>
    <w:p w14:paraId="21CCF367" w14:textId="77777777" w:rsidR="004F44A5" w:rsidRDefault="004F44A5" w:rsidP="004F44A5">
      <w:pPr>
        <w:pStyle w:val="LGTdoc1"/>
        <w:snapToGrid/>
        <w:spacing w:beforeLines="0" w:before="100" w:beforeAutospacing="1" w:after="0" w:afterAutospacing="0" w:line="360" w:lineRule="auto"/>
        <w:contextualSpacing/>
        <w:rPr>
          <w:b w:val="0"/>
          <w:sz w:val="22"/>
        </w:rPr>
      </w:pPr>
    </w:p>
    <w:p w14:paraId="6D600804" w14:textId="0904115A" w:rsidR="004F44A5" w:rsidRPr="00F744B0" w:rsidRDefault="004F44A5" w:rsidP="004F44A5">
      <w:pPr>
        <w:pStyle w:val="2"/>
      </w:pPr>
      <w:r>
        <w:rPr>
          <w:rFonts w:ascii="Times New Roman" w:hAnsi="Times New Roman" w:cs="Times New Roman"/>
          <w:i w:val="0"/>
        </w:rPr>
        <w:t>L1 measurement reporting</w:t>
      </w:r>
    </w:p>
    <w:p w14:paraId="54FEBAC1" w14:textId="33CE2EF6" w:rsidR="00454BE7" w:rsidRDefault="005B2DF5" w:rsidP="001E29F3">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In Rel-17 feMIMO WI, inter-cell </w:t>
      </w:r>
      <w:r w:rsidR="000E0C12">
        <w:rPr>
          <w:b w:val="0"/>
          <w:sz w:val="22"/>
          <w:lang w:val="en-US"/>
        </w:rPr>
        <w:t>beam management</w:t>
      </w:r>
      <w:r>
        <w:rPr>
          <w:b w:val="0"/>
          <w:sz w:val="22"/>
          <w:lang w:val="en-US"/>
        </w:rPr>
        <w:t xml:space="preserve"> (BM) including beam measurement/reporting and beam indication</w:t>
      </w:r>
      <w:r w:rsidR="000E0C12">
        <w:rPr>
          <w:b w:val="0"/>
          <w:sz w:val="22"/>
          <w:lang w:val="en-US"/>
        </w:rPr>
        <w:t xml:space="preserve"> was </w:t>
      </w:r>
      <w:r>
        <w:rPr>
          <w:b w:val="0"/>
          <w:sz w:val="22"/>
          <w:lang w:val="en-US"/>
        </w:rPr>
        <w:t>introduced</w:t>
      </w:r>
      <w:r w:rsidR="000E0C12">
        <w:rPr>
          <w:b w:val="0"/>
          <w:sz w:val="22"/>
          <w:lang w:val="en-US"/>
        </w:rPr>
        <w:t xml:space="preserve"> </w:t>
      </w:r>
      <w:r>
        <w:rPr>
          <w:b w:val="0"/>
          <w:sz w:val="22"/>
          <w:lang w:val="en-US"/>
        </w:rPr>
        <w:t>based on unified TCI framework where</w:t>
      </w:r>
      <w:r w:rsidR="000E0C12">
        <w:rPr>
          <w:b w:val="0"/>
          <w:sz w:val="22"/>
          <w:lang w:val="en-US"/>
        </w:rPr>
        <w:t xml:space="preserve"> the inter-cell BM allows UE to </w:t>
      </w:r>
      <w:r>
        <w:rPr>
          <w:b w:val="0"/>
          <w:sz w:val="22"/>
          <w:lang w:val="en-US"/>
        </w:rPr>
        <w:t>utilize SSBs from a serving cell with different PCID</w:t>
      </w:r>
      <w:r w:rsidR="000E0C12">
        <w:rPr>
          <w:b w:val="0"/>
          <w:sz w:val="22"/>
          <w:lang w:val="en-US"/>
        </w:rPr>
        <w:t xml:space="preserve"> as QCL source</w:t>
      </w:r>
      <w:r>
        <w:rPr>
          <w:b w:val="0"/>
          <w:sz w:val="22"/>
          <w:lang w:val="en-US"/>
        </w:rPr>
        <w:t xml:space="preserve"> for beam indication/update</w:t>
      </w:r>
      <w:r w:rsidR="000E0C12">
        <w:rPr>
          <w:b w:val="0"/>
          <w:sz w:val="22"/>
          <w:lang w:val="en-US"/>
        </w:rPr>
        <w:t xml:space="preserve">. </w:t>
      </w:r>
      <w:r w:rsidR="00195784">
        <w:rPr>
          <w:b w:val="0"/>
          <w:sz w:val="22"/>
          <w:lang w:val="en-US"/>
        </w:rPr>
        <w:t>However</w:t>
      </w:r>
      <w:r w:rsidR="000E0C12">
        <w:rPr>
          <w:b w:val="0"/>
          <w:sz w:val="22"/>
          <w:lang w:val="en-US"/>
        </w:rPr>
        <w:t xml:space="preserve">, in this case, the serving cell does not change and </w:t>
      </w:r>
      <w:r w:rsidR="00195784">
        <w:rPr>
          <w:b w:val="0"/>
          <w:sz w:val="22"/>
          <w:lang w:val="en-US"/>
        </w:rPr>
        <w:t>it has a limitation on</w:t>
      </w:r>
      <w:r w:rsidR="000E0C12">
        <w:rPr>
          <w:b w:val="0"/>
          <w:sz w:val="22"/>
          <w:lang w:val="en-US"/>
        </w:rPr>
        <w:t xml:space="preserve"> </w:t>
      </w:r>
      <w:r w:rsidR="00195784">
        <w:rPr>
          <w:b w:val="0"/>
          <w:sz w:val="22"/>
          <w:lang w:val="en-US"/>
        </w:rPr>
        <w:t xml:space="preserve">UE </w:t>
      </w:r>
      <w:r w:rsidR="000E0C12">
        <w:rPr>
          <w:b w:val="0"/>
          <w:sz w:val="22"/>
          <w:lang w:val="en-US"/>
        </w:rPr>
        <w:t>mobility support and it leads that an RRC-based handover (HO) is inevitable once the UE mov</w:t>
      </w:r>
      <w:r w:rsidR="006C3092">
        <w:rPr>
          <w:b w:val="0"/>
          <w:sz w:val="22"/>
          <w:lang w:val="en-US"/>
        </w:rPr>
        <w:t>es out of serving cell coverage</w:t>
      </w:r>
      <w:r w:rsidR="004F658D">
        <w:rPr>
          <w:b w:val="0"/>
          <w:sz w:val="22"/>
          <w:lang w:val="en-US"/>
        </w:rPr>
        <w:t>.</w:t>
      </w:r>
      <w:r w:rsidR="006C3092">
        <w:rPr>
          <w:b w:val="0"/>
          <w:sz w:val="22"/>
          <w:lang w:val="en-US"/>
        </w:rPr>
        <w:t xml:space="preserve"> </w:t>
      </w:r>
      <w:r w:rsidR="00454BE7">
        <w:rPr>
          <w:rFonts w:hint="eastAsia"/>
          <w:b w:val="0"/>
          <w:sz w:val="22"/>
          <w:lang w:val="en-US"/>
        </w:rPr>
        <w:t xml:space="preserve">In </w:t>
      </w:r>
      <w:r w:rsidR="00195784">
        <w:rPr>
          <w:b w:val="0"/>
          <w:sz w:val="22"/>
          <w:lang w:val="en-US"/>
        </w:rPr>
        <w:t xml:space="preserve">current </w:t>
      </w:r>
      <w:r w:rsidR="00454BE7">
        <w:rPr>
          <w:rFonts w:hint="eastAsia"/>
          <w:b w:val="0"/>
          <w:sz w:val="22"/>
          <w:lang w:val="en-US"/>
        </w:rPr>
        <w:t xml:space="preserve">NR </w:t>
      </w:r>
      <w:r w:rsidR="00195784">
        <w:rPr>
          <w:b w:val="0"/>
          <w:sz w:val="22"/>
          <w:lang w:val="en-US"/>
        </w:rPr>
        <w:t>sys</w:t>
      </w:r>
      <w:r w:rsidR="00454BE7">
        <w:rPr>
          <w:rFonts w:hint="eastAsia"/>
          <w:b w:val="0"/>
          <w:sz w:val="22"/>
          <w:lang w:val="en-US"/>
        </w:rPr>
        <w:t>tem, gNB can determine whether to</w:t>
      </w:r>
      <w:r w:rsidR="00454BE7">
        <w:rPr>
          <w:b w:val="0"/>
          <w:sz w:val="22"/>
          <w:lang w:val="en-US"/>
        </w:rPr>
        <w:t xml:space="preserve"> operate</w:t>
      </w:r>
      <w:r w:rsidR="00454BE7">
        <w:rPr>
          <w:rFonts w:hint="eastAsia"/>
          <w:b w:val="0"/>
          <w:sz w:val="22"/>
          <w:lang w:val="en-US"/>
        </w:rPr>
        <w:t xml:space="preserve"> </w:t>
      </w:r>
      <w:r w:rsidR="00454BE7">
        <w:rPr>
          <w:b w:val="0"/>
          <w:sz w:val="22"/>
          <w:lang w:val="en-US"/>
        </w:rPr>
        <w:t>handover</w:t>
      </w:r>
      <w:r w:rsidR="00454BE7">
        <w:rPr>
          <w:rFonts w:hint="eastAsia"/>
          <w:b w:val="0"/>
          <w:sz w:val="22"/>
          <w:lang w:val="en-US"/>
        </w:rPr>
        <w:t xml:space="preserve"> for UE </w:t>
      </w:r>
      <w:r w:rsidR="006F039F">
        <w:rPr>
          <w:b w:val="0"/>
          <w:sz w:val="22"/>
          <w:lang w:val="en-US"/>
        </w:rPr>
        <w:t xml:space="preserve">to change the serving cell </w:t>
      </w:r>
      <w:r w:rsidR="00454BE7">
        <w:rPr>
          <w:rFonts w:hint="eastAsia"/>
          <w:b w:val="0"/>
          <w:sz w:val="22"/>
          <w:lang w:val="en-US"/>
        </w:rPr>
        <w:t>based on the me</w:t>
      </w:r>
      <w:r w:rsidR="006F039F">
        <w:rPr>
          <w:rFonts w:hint="eastAsia"/>
          <w:b w:val="0"/>
          <w:sz w:val="22"/>
          <w:lang w:val="en-US"/>
        </w:rPr>
        <w:t>asurement reporting from the UE a</w:t>
      </w:r>
      <w:r w:rsidR="006F039F">
        <w:rPr>
          <w:b w:val="0"/>
          <w:sz w:val="22"/>
          <w:lang w:val="en-US"/>
        </w:rPr>
        <w:t>nd the HO procedure is shown in Figure 1 below.</w:t>
      </w:r>
    </w:p>
    <w:p w14:paraId="59EA2A32" w14:textId="46B70607" w:rsidR="00454BE7" w:rsidRDefault="00454BE7" w:rsidP="00454BE7">
      <w:pPr>
        <w:pStyle w:val="LGTdoc1"/>
        <w:snapToGrid/>
        <w:spacing w:beforeLines="0" w:before="100" w:beforeAutospacing="1" w:after="0" w:afterAutospacing="0" w:line="360" w:lineRule="auto"/>
        <w:contextualSpacing/>
        <w:rPr>
          <w:b w:val="0"/>
          <w:sz w:val="22"/>
          <w:lang w:val="en-US"/>
        </w:rPr>
      </w:pPr>
      <w:r>
        <w:rPr>
          <w:b w:val="0"/>
          <w:noProof/>
          <w:snapToGrid/>
          <w:sz w:val="22"/>
          <w:lang w:val="en-US"/>
        </w:rPr>
        <w:drawing>
          <wp:inline distT="0" distB="0" distL="0" distR="0" wp14:anchorId="766F0744" wp14:editId="55CA9105">
            <wp:extent cx="5732145" cy="1459865"/>
            <wp:effectExtent l="0" t="0" r="1905"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 procedure.jpg"/>
                    <pic:cNvPicPr/>
                  </pic:nvPicPr>
                  <pic:blipFill>
                    <a:blip r:embed="rId8">
                      <a:extLst>
                        <a:ext uri="{28A0092B-C50C-407E-A947-70E740481C1C}">
                          <a14:useLocalDpi xmlns:a14="http://schemas.microsoft.com/office/drawing/2010/main" val="0"/>
                        </a:ext>
                      </a:extLst>
                    </a:blip>
                    <a:stretch>
                      <a:fillRect/>
                    </a:stretch>
                  </pic:blipFill>
                  <pic:spPr>
                    <a:xfrm>
                      <a:off x="0" y="0"/>
                      <a:ext cx="5732145" cy="1459865"/>
                    </a:xfrm>
                    <a:prstGeom prst="rect">
                      <a:avLst/>
                    </a:prstGeom>
                  </pic:spPr>
                </pic:pic>
              </a:graphicData>
            </a:graphic>
          </wp:inline>
        </w:drawing>
      </w:r>
    </w:p>
    <w:p w14:paraId="572A5F4E" w14:textId="0FF855C1" w:rsidR="00454BE7" w:rsidRPr="004F658D" w:rsidRDefault="00454BE7" w:rsidP="00454BE7">
      <w:pPr>
        <w:pStyle w:val="LGTdoc1"/>
        <w:snapToGrid/>
        <w:spacing w:beforeLines="0" w:before="100" w:beforeAutospacing="1" w:after="0" w:afterAutospacing="0" w:line="360" w:lineRule="auto"/>
        <w:ind w:firstLineChars="150" w:firstLine="324"/>
        <w:contextualSpacing/>
        <w:jc w:val="center"/>
        <w:rPr>
          <w:sz w:val="22"/>
          <w:lang w:val="en-US"/>
        </w:rPr>
      </w:pPr>
      <w:r w:rsidRPr="004F658D">
        <w:rPr>
          <w:rFonts w:hint="eastAsia"/>
          <w:sz w:val="22"/>
          <w:lang w:val="en-US"/>
        </w:rPr>
        <w:t xml:space="preserve">Figure 1. </w:t>
      </w:r>
      <w:r w:rsidR="006A416C">
        <w:rPr>
          <w:sz w:val="22"/>
          <w:lang w:val="en-US"/>
        </w:rPr>
        <w:t>Legacy s</w:t>
      </w:r>
      <w:r w:rsidRPr="004F658D">
        <w:rPr>
          <w:rFonts w:hint="eastAsia"/>
          <w:sz w:val="22"/>
          <w:lang w:val="en-US"/>
        </w:rPr>
        <w:t>ignaling procedure for HO between gNB and UE</w:t>
      </w:r>
    </w:p>
    <w:p w14:paraId="076F0574" w14:textId="77777777" w:rsidR="004F658D" w:rsidRPr="006B074A" w:rsidRDefault="004F658D" w:rsidP="00466D36">
      <w:pPr>
        <w:pStyle w:val="LGTdoc1"/>
        <w:snapToGrid/>
        <w:spacing w:beforeLines="0" w:before="100" w:beforeAutospacing="1" w:after="0" w:afterAutospacing="0" w:line="360" w:lineRule="auto"/>
        <w:contextualSpacing/>
        <w:rPr>
          <w:b w:val="0"/>
          <w:sz w:val="22"/>
          <w:lang w:val="en-US"/>
        </w:rPr>
      </w:pPr>
    </w:p>
    <w:p w14:paraId="5C0A2214" w14:textId="273FF8EA" w:rsidR="001B185A" w:rsidRDefault="00466D36" w:rsidP="00466D36">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RRC reconfiguration (measurement) is </w:t>
      </w:r>
      <w:r>
        <w:rPr>
          <w:b w:val="0"/>
          <w:sz w:val="22"/>
          <w:lang w:val="en-US"/>
        </w:rPr>
        <w:t xml:space="preserve">for a new measurement target and related settings for HO to the UE while the UE is in the ‘connected’ mode. In this configuration, </w:t>
      </w:r>
      <w:r w:rsidRPr="001B185A">
        <w:rPr>
          <w:b w:val="0"/>
          <w:i/>
          <w:sz w:val="22"/>
          <w:lang w:val="en-US"/>
        </w:rPr>
        <w:t>ReportConfigNR</w:t>
      </w:r>
      <w:r w:rsidR="001B185A">
        <w:rPr>
          <w:b w:val="0"/>
          <w:sz w:val="22"/>
          <w:lang w:val="en-US"/>
        </w:rPr>
        <w:t xml:space="preserve"> can be included where the IE specifies criteria for triggering of an NR measurement reporting events as below.</w:t>
      </w:r>
    </w:p>
    <w:tbl>
      <w:tblPr>
        <w:tblStyle w:val="ad"/>
        <w:tblW w:w="0" w:type="auto"/>
        <w:tblLook w:val="04A0" w:firstRow="1" w:lastRow="0" w:firstColumn="1" w:lastColumn="0" w:noHBand="0" w:noVBand="1"/>
      </w:tblPr>
      <w:tblGrid>
        <w:gridCol w:w="9017"/>
      </w:tblGrid>
      <w:tr w:rsidR="001B185A" w:rsidRPr="001A4281" w14:paraId="60A6062A" w14:textId="77777777" w:rsidTr="001B185A">
        <w:tc>
          <w:tcPr>
            <w:tcW w:w="9017" w:type="dxa"/>
          </w:tcPr>
          <w:p w14:paraId="2BEF6E35" w14:textId="46C1E4B6" w:rsidR="001B185A" w:rsidRPr="001B185A" w:rsidRDefault="001B185A" w:rsidP="005C7AD3">
            <w:pPr>
              <w:keepNext/>
              <w:keepLines/>
              <w:overflowPunct w:val="0"/>
              <w:autoSpaceDE w:val="0"/>
              <w:autoSpaceDN w:val="0"/>
              <w:spacing w:before="120" w:after="180"/>
              <w:ind w:left="1418" w:hanging="1418"/>
              <w:textAlignment w:val="baseline"/>
              <w:outlineLvl w:val="3"/>
              <w:rPr>
                <w:rFonts w:ascii="Arial" w:eastAsiaTheme="majorHAnsi" w:hAnsi="Arial" w:cs="Arial"/>
                <w:lang w:val="en-GB" w:eastAsia="ja-JP"/>
              </w:rPr>
            </w:pPr>
            <w:r>
              <w:rPr>
                <w:b/>
                <w:sz w:val="22"/>
              </w:rPr>
              <w:lastRenderedPageBreak/>
              <w:t xml:space="preserve"> </w:t>
            </w:r>
            <w:r w:rsidRPr="001B185A">
              <w:rPr>
                <w:rFonts w:ascii="Arial" w:eastAsiaTheme="majorHAnsi" w:hAnsi="Arial" w:cs="Arial"/>
                <w:i/>
                <w:lang w:val="en-GB" w:eastAsia="ja-JP"/>
              </w:rPr>
              <w:t xml:space="preserve">ReportConfigNR </w:t>
            </w:r>
            <w:r w:rsidRPr="001B185A">
              <w:rPr>
                <w:rFonts w:ascii="Arial" w:eastAsiaTheme="majorHAnsi" w:hAnsi="Arial" w:cs="Arial"/>
                <w:lang w:val="en-GB" w:eastAsia="ja-JP"/>
              </w:rPr>
              <w:t>(TS38.331, clause 6.3.2)</w:t>
            </w:r>
          </w:p>
          <w:p w14:paraId="1B63AFF0" w14:textId="77777777" w:rsidR="001B185A" w:rsidRPr="001B185A" w:rsidRDefault="001B185A" w:rsidP="005C7AD3">
            <w:pPr>
              <w:overflowPunct w:val="0"/>
              <w:autoSpaceDE w:val="0"/>
              <w:autoSpaceDN w:val="0"/>
              <w:spacing w:after="180"/>
              <w:textAlignment w:val="baseline"/>
              <w:rPr>
                <w:rFonts w:ascii="Times New Roman" w:eastAsia="MS Mincho" w:hAnsi="Times New Roman"/>
                <w:sz w:val="18"/>
                <w:szCs w:val="18"/>
                <w:lang w:val="en-GB" w:eastAsia="ja-JP"/>
              </w:rPr>
            </w:pPr>
            <w:r w:rsidRPr="001B185A">
              <w:rPr>
                <w:rFonts w:ascii="Times New Roman" w:eastAsia="Times New Roman" w:hAnsi="Times New Roman"/>
                <w:sz w:val="18"/>
                <w:szCs w:val="18"/>
                <w:lang w:val="en-GB" w:eastAsia="ja-JP"/>
              </w:rPr>
              <w:t xml:space="preserve">The IE </w:t>
            </w:r>
            <w:r w:rsidRPr="001B185A">
              <w:rPr>
                <w:rFonts w:ascii="Times New Roman" w:eastAsia="Times New Roman" w:hAnsi="Times New Roman"/>
                <w:i/>
                <w:sz w:val="18"/>
                <w:szCs w:val="18"/>
                <w:lang w:val="en-GB" w:eastAsia="ja-JP"/>
              </w:rPr>
              <w:t>ReportConfigNR</w:t>
            </w:r>
            <w:r w:rsidRPr="001B185A">
              <w:rPr>
                <w:rFonts w:ascii="Times New Roman" w:eastAsia="Times New Roman" w:hAnsi="Times New Roman"/>
                <w:sz w:val="18"/>
                <w:szCs w:val="18"/>
                <w:lang w:val="en-GB" w:eastAsia="ja-JP"/>
              </w:rPr>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5A614501"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A1:</w:t>
            </w:r>
            <w:r w:rsidRPr="001B185A">
              <w:rPr>
                <w:rFonts w:ascii="Times New Roman" w:eastAsia="Times New Roman" w:hAnsi="Times New Roman"/>
                <w:sz w:val="18"/>
                <w:szCs w:val="18"/>
                <w:lang w:val="en-GB" w:eastAsia="ja-JP"/>
              </w:rPr>
              <w:tab/>
              <w:t>Serving becomes better than absolute threshold;</w:t>
            </w:r>
          </w:p>
          <w:p w14:paraId="60A127C1"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A2:</w:t>
            </w:r>
            <w:r w:rsidRPr="001B185A">
              <w:rPr>
                <w:rFonts w:ascii="Times New Roman" w:eastAsia="Times New Roman" w:hAnsi="Times New Roman"/>
                <w:sz w:val="18"/>
                <w:szCs w:val="18"/>
                <w:lang w:val="en-GB" w:eastAsia="ja-JP"/>
              </w:rPr>
              <w:tab/>
              <w:t>Serving becomes worse than absolute threshold;</w:t>
            </w:r>
          </w:p>
          <w:p w14:paraId="217F02A3"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A3:</w:t>
            </w:r>
            <w:r w:rsidRPr="001B185A">
              <w:rPr>
                <w:rFonts w:ascii="Times New Roman" w:eastAsia="Times New Roman" w:hAnsi="Times New Roman"/>
                <w:sz w:val="18"/>
                <w:szCs w:val="18"/>
                <w:lang w:val="en-GB" w:eastAsia="ja-JP"/>
              </w:rPr>
              <w:tab/>
              <w:t>Neighbour becomes amount of offset better than PCell/PSCell;</w:t>
            </w:r>
          </w:p>
          <w:p w14:paraId="2094F3CB"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A4:</w:t>
            </w:r>
            <w:r w:rsidRPr="001B185A">
              <w:rPr>
                <w:rFonts w:ascii="Times New Roman" w:eastAsia="Times New Roman" w:hAnsi="Times New Roman"/>
                <w:sz w:val="18"/>
                <w:szCs w:val="18"/>
                <w:lang w:val="en-GB" w:eastAsia="ja-JP"/>
              </w:rPr>
              <w:tab/>
              <w:t>Neighbour becomes better than absolute threshold;</w:t>
            </w:r>
          </w:p>
          <w:p w14:paraId="0D597EA7"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A5:</w:t>
            </w:r>
            <w:r w:rsidRPr="001B185A">
              <w:rPr>
                <w:rFonts w:ascii="Times New Roman" w:eastAsia="Times New Roman" w:hAnsi="Times New Roman"/>
                <w:sz w:val="18"/>
                <w:szCs w:val="18"/>
                <w:lang w:val="en-GB" w:eastAsia="ja-JP"/>
              </w:rPr>
              <w:tab/>
              <w:t>PCell/PSCell becomes worse than absolute threshold1 AND Neighbour/SCell becomes better than another absolute threshold2;</w:t>
            </w:r>
          </w:p>
          <w:p w14:paraId="3D5C8038"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A6:</w:t>
            </w:r>
            <w:r w:rsidRPr="001B185A">
              <w:rPr>
                <w:rFonts w:ascii="Times New Roman" w:eastAsia="Times New Roman" w:hAnsi="Times New Roman"/>
                <w:sz w:val="18"/>
                <w:szCs w:val="18"/>
                <w:lang w:val="en-GB" w:eastAsia="ja-JP"/>
              </w:rPr>
              <w:tab/>
              <w:t>Neighbour becomes amount of offset better than SCell;</w:t>
            </w:r>
          </w:p>
          <w:p w14:paraId="20AFBCFC"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CondEvent A3: Conditional reconfiguration candidate becomes amount of offset better than PCell/PSCell;</w:t>
            </w:r>
          </w:p>
          <w:p w14:paraId="10F1E4D2"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CondEvent A5: PCell/PSCell becomes worse than absolute threshold1 AND Conditional reconfiguration candidate becomes better than another absolute threshold2;</w:t>
            </w:r>
          </w:p>
          <w:p w14:paraId="2AE3F487" w14:textId="77777777" w:rsidR="001B185A" w:rsidRPr="001B185A" w:rsidRDefault="001B185A" w:rsidP="005C7AD3">
            <w:pPr>
              <w:overflowPunct w:val="0"/>
              <w:autoSpaceDE w:val="0"/>
              <w:autoSpaceDN w:val="0"/>
              <w:spacing w:after="180"/>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For event I1, measurement reporting event is based on CLI measurement results, which can either be derived based on SRS-RSRP or CLI-RSSI.</w:t>
            </w:r>
          </w:p>
          <w:p w14:paraId="0628A747" w14:textId="77777777" w:rsidR="001B185A" w:rsidRPr="001A4281" w:rsidRDefault="001B185A" w:rsidP="005C7AD3">
            <w:pPr>
              <w:overflowPunct w:val="0"/>
              <w:autoSpaceDE w:val="0"/>
              <w:autoSpaceDN w:val="0"/>
              <w:spacing w:after="180"/>
              <w:ind w:left="568" w:hanging="284"/>
              <w:textAlignment w:val="baseline"/>
              <w:rPr>
                <w:rFonts w:asciiTheme="minorEastAsia" w:eastAsiaTheme="minorEastAsia" w:hAnsiTheme="minorEastAsia"/>
                <w:lang w:val="en-GB"/>
              </w:rPr>
            </w:pPr>
            <w:r w:rsidRPr="001B185A">
              <w:rPr>
                <w:rFonts w:ascii="Times New Roman" w:eastAsia="Times New Roman" w:hAnsi="Times New Roman"/>
                <w:sz w:val="18"/>
                <w:szCs w:val="18"/>
                <w:lang w:val="en-GB" w:eastAsia="ja-JP"/>
              </w:rPr>
              <w:t>Event I1:</w:t>
            </w:r>
            <w:r w:rsidRPr="001B185A">
              <w:rPr>
                <w:rFonts w:ascii="Times New Roman" w:eastAsia="Times New Roman" w:hAnsi="Times New Roman"/>
                <w:sz w:val="18"/>
                <w:szCs w:val="18"/>
                <w:lang w:val="en-GB" w:eastAsia="ja-JP"/>
              </w:rPr>
              <w:tab/>
              <w:t>Interference becomes higher than absolute threshold.</w:t>
            </w:r>
          </w:p>
        </w:tc>
      </w:tr>
    </w:tbl>
    <w:p w14:paraId="787C2FD7" w14:textId="77777777" w:rsidR="004F658D" w:rsidRDefault="001B185A" w:rsidP="004F658D">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According to the setting and reporting criterion, the UE may perform an operation of reporting a RRM measurement value which is managed by </w:t>
      </w:r>
      <w:r>
        <w:rPr>
          <w:b w:val="0"/>
          <w:sz w:val="22"/>
          <w:lang w:val="en-US"/>
        </w:rPr>
        <w:t>L3, as shown in measurement reporting in Figure 1. Based on this, gNB gives the UE a HO command.</w:t>
      </w:r>
      <w:r w:rsidR="004F658D">
        <w:rPr>
          <w:b w:val="0"/>
          <w:sz w:val="22"/>
          <w:lang w:val="en-US"/>
        </w:rPr>
        <w:t xml:space="preserve"> </w:t>
      </w:r>
    </w:p>
    <w:p w14:paraId="5F9D8C0C" w14:textId="1AF31994" w:rsidR="007F62AB" w:rsidRDefault="00F01DB4" w:rsidP="00BB0DED">
      <w:pPr>
        <w:pStyle w:val="LGTdoc1"/>
        <w:snapToGrid/>
        <w:spacing w:beforeLines="0" w:before="100" w:beforeAutospacing="1" w:after="0" w:afterAutospacing="0" w:line="360" w:lineRule="auto"/>
        <w:ind w:firstLineChars="150" w:firstLine="330"/>
        <w:contextualSpacing/>
        <w:rPr>
          <w:b w:val="0"/>
          <w:sz w:val="22"/>
        </w:rPr>
      </w:pPr>
      <w:r>
        <w:rPr>
          <w:b w:val="0"/>
          <w:sz w:val="22"/>
        </w:rPr>
        <w:t>Firstly, r</w:t>
      </w:r>
      <w:r w:rsidR="0004227F">
        <w:rPr>
          <w:b w:val="0"/>
          <w:sz w:val="22"/>
        </w:rPr>
        <w:t>egarding gNB scheduled L1 measurement report for Rel-18 LTM, semi-persistent/aperiodic reporting on PUSCH</w:t>
      </w:r>
      <w:r>
        <w:rPr>
          <w:b w:val="0"/>
          <w:sz w:val="22"/>
        </w:rPr>
        <w:t xml:space="preserve"> were</w:t>
      </w:r>
      <w:r w:rsidR="0004227F">
        <w:rPr>
          <w:b w:val="0"/>
          <w:sz w:val="22"/>
        </w:rPr>
        <w:t xml:space="preserve"> agreed in RAN1#110bis-e and </w:t>
      </w:r>
      <w:r>
        <w:rPr>
          <w:b w:val="0"/>
          <w:sz w:val="22"/>
        </w:rPr>
        <w:t xml:space="preserve">periodic/semi-persistent reporting on PUCCH are </w:t>
      </w:r>
      <w:r w:rsidR="009B113D">
        <w:rPr>
          <w:b w:val="0"/>
          <w:sz w:val="22"/>
        </w:rPr>
        <w:t xml:space="preserve">also agreed in the last meeting </w:t>
      </w:r>
      <w:r w:rsidR="007F62AB">
        <w:rPr>
          <w:b w:val="0"/>
          <w:sz w:val="22"/>
        </w:rPr>
        <w:t>as follows</w:t>
      </w:r>
      <w:r>
        <w:rPr>
          <w:b w:val="0"/>
          <w:sz w:val="22"/>
        </w:rPr>
        <w:t>.</w:t>
      </w:r>
    </w:p>
    <w:tbl>
      <w:tblPr>
        <w:tblStyle w:val="ad"/>
        <w:tblW w:w="0" w:type="auto"/>
        <w:tblLook w:val="04A0" w:firstRow="1" w:lastRow="0" w:firstColumn="1" w:lastColumn="0" w:noHBand="0" w:noVBand="1"/>
      </w:tblPr>
      <w:tblGrid>
        <w:gridCol w:w="9017"/>
      </w:tblGrid>
      <w:tr w:rsidR="007F62AB" w14:paraId="6E9541A5" w14:textId="77777777" w:rsidTr="007F62AB">
        <w:tc>
          <w:tcPr>
            <w:tcW w:w="9017" w:type="dxa"/>
          </w:tcPr>
          <w:p w14:paraId="476BB70A" w14:textId="77777777" w:rsidR="001E4FF5" w:rsidRPr="001E4FF5" w:rsidRDefault="001E4FF5" w:rsidP="001E4FF5">
            <w:pPr>
              <w:wordWrap w:val="0"/>
              <w:autoSpaceDN w:val="0"/>
              <w:jc w:val="both"/>
              <w:rPr>
                <w:rFonts w:ascii="Times New Roman" w:eastAsia="맑은 고딕" w:hAnsi="Times New Roman" w:cs="Times New Roman"/>
                <w:sz w:val="20"/>
                <w:szCs w:val="20"/>
              </w:rPr>
            </w:pPr>
            <w:r w:rsidRPr="001E4FF5">
              <w:rPr>
                <w:rFonts w:ascii="Times New Roman" w:eastAsia="맑은 고딕" w:hAnsi="Times New Roman" w:cs="Times New Roman"/>
                <w:b/>
                <w:bCs/>
                <w:color w:val="000000"/>
                <w:sz w:val="20"/>
                <w:szCs w:val="20"/>
                <w:highlight w:val="green"/>
                <w:lang w:eastAsia="zh-CN"/>
              </w:rPr>
              <w:t>Agreement</w:t>
            </w:r>
            <w:r w:rsidRPr="001E4FF5">
              <w:rPr>
                <w:rFonts w:ascii="Times New Roman" w:eastAsia="맑은 고딕" w:hAnsi="Times New Roman" w:cs="Times New Roman"/>
                <w:b/>
                <w:bCs/>
                <w:color w:val="000000"/>
                <w:sz w:val="20"/>
                <w:szCs w:val="20"/>
                <w:lang w:eastAsia="zh-CN"/>
              </w:rPr>
              <w:t xml:space="preserve"> @110bis-e</w:t>
            </w:r>
          </w:p>
          <w:p w14:paraId="0A59C903" w14:textId="77777777" w:rsidR="001E4FF5" w:rsidRPr="001E4FF5" w:rsidRDefault="001E4FF5" w:rsidP="001E4FF5">
            <w:pPr>
              <w:numPr>
                <w:ilvl w:val="0"/>
                <w:numId w:val="29"/>
              </w:numPr>
              <w:wordWrap w:val="0"/>
              <w:autoSpaceDE w:val="0"/>
              <w:autoSpaceDN w:val="0"/>
              <w:jc w:val="both"/>
              <w:rPr>
                <w:rFonts w:ascii="Times New Roman" w:eastAsia="맑은 고딕" w:hAnsi="Times New Roman" w:cs="Times New Roman"/>
                <w:sz w:val="20"/>
                <w:szCs w:val="20"/>
              </w:rPr>
            </w:pPr>
            <w:r w:rsidRPr="001E4FF5">
              <w:rPr>
                <w:rFonts w:ascii="Times New Roman" w:eastAsia="맑은 고딕" w:hAnsi="Times New Roman" w:cs="Times New Roman"/>
                <w:sz w:val="20"/>
                <w:szCs w:val="20"/>
              </w:rPr>
              <w:t>For L1 measurement report for Rel-18 L1/L2 mobility, further study the following mechanisms:</w:t>
            </w:r>
          </w:p>
          <w:p w14:paraId="31812B6B" w14:textId="77777777" w:rsidR="001E4FF5" w:rsidRPr="001E4FF5" w:rsidRDefault="001E4FF5" w:rsidP="001E4FF5">
            <w:pPr>
              <w:numPr>
                <w:ilvl w:val="1"/>
                <w:numId w:val="29"/>
              </w:numPr>
              <w:wordWrap w:val="0"/>
              <w:autoSpaceDE w:val="0"/>
              <w:autoSpaceDN w:val="0"/>
              <w:jc w:val="both"/>
              <w:rPr>
                <w:rFonts w:ascii="Times New Roman" w:eastAsia="맑은 고딕" w:hAnsi="Times New Roman" w:cs="Times New Roman"/>
                <w:sz w:val="20"/>
                <w:szCs w:val="20"/>
              </w:rPr>
            </w:pPr>
            <w:r w:rsidRPr="001E4FF5">
              <w:rPr>
                <w:rFonts w:ascii="Times New Roman" w:eastAsia="맑은 고딕" w:hAnsi="Times New Roman" w:cs="Times New Roman"/>
                <w:sz w:val="20"/>
                <w:szCs w:val="20"/>
              </w:rPr>
              <w:t> Report as UCI on PUCCH or PUSCH</w:t>
            </w:r>
          </w:p>
          <w:p w14:paraId="436B6B9B" w14:textId="77777777" w:rsidR="001E4FF5" w:rsidRPr="001E4FF5" w:rsidRDefault="001E4FF5" w:rsidP="001E4FF5">
            <w:pPr>
              <w:numPr>
                <w:ilvl w:val="2"/>
                <w:numId w:val="29"/>
              </w:numPr>
              <w:wordWrap w:val="0"/>
              <w:autoSpaceDE w:val="0"/>
              <w:autoSpaceDN w:val="0"/>
              <w:jc w:val="both"/>
              <w:rPr>
                <w:rFonts w:ascii="Times New Roman" w:eastAsia="맑은 고딕" w:hAnsi="Times New Roman" w:cs="Times New Roman"/>
                <w:sz w:val="20"/>
                <w:szCs w:val="20"/>
              </w:rPr>
            </w:pPr>
            <w:r w:rsidRPr="001E4FF5">
              <w:rPr>
                <w:rFonts w:ascii="Times New Roman" w:eastAsia="맑은 고딕" w:hAnsi="Times New Roman" w:cs="Times New Roman"/>
                <w:sz w:val="20"/>
                <w:szCs w:val="20"/>
              </w:rPr>
              <w:t>Periodic report on PUCCH, semi-persistent report on PUCCH/PUSCH, and aperiodic report on PUSCH</w:t>
            </w:r>
          </w:p>
          <w:p w14:paraId="0B0BFAF2" w14:textId="77777777" w:rsidR="001E4FF5" w:rsidRPr="001E4FF5" w:rsidRDefault="001E4FF5" w:rsidP="001E4FF5">
            <w:pPr>
              <w:numPr>
                <w:ilvl w:val="2"/>
                <w:numId w:val="29"/>
              </w:numPr>
              <w:wordWrap w:val="0"/>
              <w:autoSpaceDE w:val="0"/>
              <w:autoSpaceDN w:val="0"/>
              <w:jc w:val="both"/>
              <w:rPr>
                <w:rFonts w:ascii="Times New Roman" w:eastAsia="맑은 고딕" w:hAnsi="Times New Roman" w:cs="Times New Roman"/>
                <w:sz w:val="20"/>
                <w:szCs w:val="20"/>
              </w:rPr>
            </w:pPr>
            <w:r w:rsidRPr="001E4FF5">
              <w:rPr>
                <w:rFonts w:ascii="Times New Roman" w:eastAsia="맑은 고딕" w:hAnsi="Times New Roman" w:cs="Times New Roman"/>
                <w:sz w:val="20"/>
                <w:szCs w:val="20"/>
              </w:rPr>
              <w:t>Further study potential enhancements to Rel-17 ICBM report format to accommodate Rel-18 scenarios, e.g.</w:t>
            </w:r>
          </w:p>
          <w:p w14:paraId="65A6BD06" w14:textId="77777777" w:rsidR="001E4FF5" w:rsidRPr="001E4FF5" w:rsidRDefault="001E4FF5" w:rsidP="001E4FF5">
            <w:pPr>
              <w:numPr>
                <w:ilvl w:val="3"/>
                <w:numId w:val="29"/>
              </w:numPr>
              <w:wordWrap w:val="0"/>
              <w:autoSpaceDE w:val="0"/>
              <w:autoSpaceDN w:val="0"/>
              <w:jc w:val="both"/>
              <w:rPr>
                <w:rFonts w:ascii="Times New Roman" w:eastAsia="맑은 고딕" w:hAnsi="Times New Roman" w:cs="Times New Roman"/>
                <w:sz w:val="20"/>
                <w:szCs w:val="20"/>
              </w:rPr>
            </w:pPr>
            <w:r w:rsidRPr="001E4FF5">
              <w:rPr>
                <w:rFonts w:ascii="Times New Roman" w:eastAsia="맑은 고딕" w:hAnsi="Times New Roman" w:cs="Times New Roman"/>
                <w:sz w:val="20"/>
                <w:szCs w:val="20"/>
              </w:rPr>
              <w:t>Inter-frequency measurement, if supported</w:t>
            </w:r>
          </w:p>
          <w:p w14:paraId="48AE8857" w14:textId="77777777" w:rsidR="001E4FF5" w:rsidRPr="001E4FF5" w:rsidRDefault="001E4FF5" w:rsidP="001E4FF5">
            <w:pPr>
              <w:numPr>
                <w:ilvl w:val="3"/>
                <w:numId w:val="29"/>
              </w:numPr>
              <w:wordWrap w:val="0"/>
              <w:autoSpaceDE w:val="0"/>
              <w:autoSpaceDN w:val="0"/>
              <w:jc w:val="both"/>
              <w:rPr>
                <w:rFonts w:ascii="Times New Roman" w:eastAsia="맑은 고딕" w:hAnsi="Times New Roman" w:cs="Times New Roman"/>
                <w:sz w:val="20"/>
                <w:szCs w:val="20"/>
              </w:rPr>
            </w:pPr>
            <w:r w:rsidRPr="001E4FF5">
              <w:rPr>
                <w:rFonts w:ascii="Times New Roman" w:eastAsia="맑은 고딕" w:hAnsi="Times New Roman" w:cs="Times New Roman"/>
                <w:sz w:val="20"/>
                <w:szCs w:val="20"/>
              </w:rPr>
              <w:t>Increasing the maximum number of reported beams, which is 4 for Rel-17 ICBM</w:t>
            </w:r>
          </w:p>
          <w:p w14:paraId="6AB1406E" w14:textId="77777777" w:rsidR="001E4FF5" w:rsidRPr="001E4FF5" w:rsidRDefault="001E4FF5" w:rsidP="001E4FF5">
            <w:pPr>
              <w:numPr>
                <w:ilvl w:val="3"/>
                <w:numId w:val="29"/>
              </w:numPr>
              <w:wordWrap w:val="0"/>
              <w:autoSpaceDE w:val="0"/>
              <w:autoSpaceDN w:val="0"/>
              <w:jc w:val="both"/>
              <w:rPr>
                <w:rFonts w:ascii="Times New Roman" w:eastAsia="맑은 고딕" w:hAnsi="Times New Roman" w:cs="Times New Roman"/>
                <w:sz w:val="20"/>
                <w:szCs w:val="20"/>
              </w:rPr>
            </w:pPr>
            <w:r w:rsidRPr="001E4FF5">
              <w:rPr>
                <w:rFonts w:ascii="Times New Roman" w:eastAsia="맑은 고딕" w:hAnsi="Times New Roman" w:cs="Times New Roman"/>
                <w:sz w:val="20"/>
                <w:szCs w:val="20"/>
              </w:rPr>
              <w:t>Flexible size beam report, e.g. two-part UCI (e.g., the 1st part contains the best beam/cell and the number (e.g., N) of reported beams/cells, the 2nd part contains the rest (N-1) beams/cells</w:t>
            </w:r>
          </w:p>
          <w:p w14:paraId="2D019919" w14:textId="77777777" w:rsidR="001E4FF5" w:rsidRPr="001E4FF5" w:rsidRDefault="001E4FF5" w:rsidP="001E4FF5">
            <w:pPr>
              <w:numPr>
                <w:ilvl w:val="3"/>
                <w:numId w:val="29"/>
              </w:numPr>
              <w:wordWrap w:val="0"/>
              <w:autoSpaceDE w:val="0"/>
              <w:autoSpaceDN w:val="0"/>
              <w:jc w:val="both"/>
              <w:rPr>
                <w:rFonts w:ascii="Times New Roman" w:eastAsia="맑은 고딕" w:hAnsi="Times New Roman" w:cs="Times New Roman"/>
                <w:sz w:val="20"/>
                <w:szCs w:val="20"/>
              </w:rPr>
            </w:pPr>
            <w:r w:rsidRPr="001E4FF5">
              <w:rPr>
                <w:rFonts w:ascii="Times New Roman" w:eastAsia="맑은 고딕" w:hAnsi="Times New Roman" w:cs="Times New Roman"/>
                <w:sz w:val="20"/>
                <w:szCs w:val="20"/>
              </w:rPr>
              <w:t>Reducing the reporting overhead by e.g. choosing beams/cells per frequency or across frequencies to report (FFS how)</w:t>
            </w:r>
          </w:p>
          <w:p w14:paraId="315B2575" w14:textId="77777777" w:rsidR="001E4FF5" w:rsidRPr="001E4FF5" w:rsidRDefault="001E4FF5" w:rsidP="001E4FF5">
            <w:pPr>
              <w:numPr>
                <w:ilvl w:val="1"/>
                <w:numId w:val="29"/>
              </w:numPr>
              <w:wordWrap w:val="0"/>
              <w:autoSpaceDE w:val="0"/>
              <w:autoSpaceDN w:val="0"/>
              <w:jc w:val="both"/>
              <w:rPr>
                <w:rFonts w:ascii="Times New Roman" w:eastAsia="맑은 고딕" w:hAnsi="Times New Roman" w:cs="Times New Roman"/>
                <w:sz w:val="20"/>
                <w:szCs w:val="20"/>
              </w:rPr>
            </w:pPr>
            <w:r w:rsidRPr="001E4FF5">
              <w:rPr>
                <w:rFonts w:ascii="Times New Roman" w:eastAsia="맑은 고딕" w:hAnsi="Times New Roman" w:cs="Times New Roman"/>
                <w:sz w:val="20"/>
                <w:szCs w:val="20"/>
              </w:rPr>
              <w:t xml:space="preserve">Report on MAC CE </w:t>
            </w:r>
          </w:p>
          <w:p w14:paraId="10B8B706" w14:textId="77777777" w:rsidR="001E4FF5" w:rsidRPr="001E4FF5" w:rsidRDefault="001E4FF5" w:rsidP="001E4FF5">
            <w:pPr>
              <w:numPr>
                <w:ilvl w:val="2"/>
                <w:numId w:val="29"/>
              </w:numPr>
              <w:wordWrap w:val="0"/>
              <w:autoSpaceDE w:val="0"/>
              <w:autoSpaceDN w:val="0"/>
              <w:jc w:val="both"/>
              <w:rPr>
                <w:rFonts w:ascii="Times New Roman" w:eastAsia="맑은 고딕" w:hAnsi="Times New Roman" w:cs="Times New Roman"/>
                <w:sz w:val="20"/>
                <w:szCs w:val="20"/>
              </w:rPr>
            </w:pPr>
            <w:r w:rsidRPr="001E4FF5">
              <w:rPr>
                <w:rFonts w:ascii="Times New Roman" w:eastAsia="맑은 고딕" w:hAnsi="Times New Roman" w:cs="Times New Roman"/>
                <w:sz w:val="20"/>
                <w:szCs w:val="20"/>
              </w:rPr>
              <w:t>Both gNB scheduled and/or UE initiated (if supported) report are studied</w:t>
            </w:r>
          </w:p>
          <w:p w14:paraId="3B8F99E9" w14:textId="77777777" w:rsidR="001E4FF5" w:rsidRPr="001E4FF5" w:rsidRDefault="001E4FF5" w:rsidP="007F62AB">
            <w:pPr>
              <w:tabs>
                <w:tab w:val="left" w:pos="1680"/>
              </w:tabs>
              <w:rPr>
                <w:rFonts w:ascii="Times" w:eastAsia="Yu Mincho" w:hAnsi="Times" w:cs="Times New Roman"/>
                <w:b/>
                <w:sz w:val="20"/>
                <w:highlight w:val="green"/>
                <w:lang w:eastAsia="ja-JP"/>
              </w:rPr>
            </w:pPr>
          </w:p>
          <w:p w14:paraId="1B147EAB" w14:textId="7DAA1A4B" w:rsidR="007F62AB" w:rsidRPr="009B113D" w:rsidRDefault="007F62AB" w:rsidP="007F62AB">
            <w:pPr>
              <w:tabs>
                <w:tab w:val="left" w:pos="1680"/>
              </w:tabs>
              <w:rPr>
                <w:rFonts w:ascii="Times" w:eastAsia="Yu Mincho" w:hAnsi="Times" w:cs="Times New Roman"/>
                <w:sz w:val="20"/>
                <w:lang w:val="en-GB" w:eastAsia="ja-JP"/>
              </w:rPr>
            </w:pPr>
            <w:r w:rsidRPr="009B113D">
              <w:rPr>
                <w:rFonts w:ascii="Times" w:eastAsia="Yu Mincho" w:hAnsi="Times" w:cs="Times New Roman"/>
                <w:b/>
                <w:sz w:val="20"/>
                <w:highlight w:val="green"/>
                <w:lang w:val="en-GB" w:eastAsia="ja-JP"/>
              </w:rPr>
              <w:t>Agreement</w:t>
            </w:r>
            <w:r w:rsidR="009B113D" w:rsidRPr="009B113D">
              <w:rPr>
                <w:rFonts w:ascii="Times" w:eastAsia="Yu Mincho" w:hAnsi="Times" w:cs="Times New Roman"/>
                <w:sz w:val="20"/>
                <w:lang w:val="en-GB" w:eastAsia="ja-JP"/>
              </w:rPr>
              <w:t xml:space="preserve"> </w:t>
            </w:r>
            <w:r w:rsidR="001E4FF5">
              <w:rPr>
                <w:rFonts w:ascii="Times" w:eastAsia="Yu Mincho" w:hAnsi="Times" w:cs="Times New Roman"/>
                <w:b/>
                <w:sz w:val="20"/>
                <w:lang w:val="en-GB" w:eastAsia="ja-JP"/>
              </w:rPr>
              <w:t>@</w:t>
            </w:r>
            <w:r w:rsidR="009B113D" w:rsidRPr="009B113D">
              <w:rPr>
                <w:rFonts w:ascii="Times" w:eastAsia="Yu Mincho" w:hAnsi="Times" w:cs="Times New Roman"/>
                <w:b/>
                <w:sz w:val="20"/>
                <w:lang w:val="en-GB" w:eastAsia="ja-JP"/>
              </w:rPr>
              <w:t>110bis-e</w:t>
            </w:r>
          </w:p>
          <w:p w14:paraId="7C4C3744" w14:textId="77777777" w:rsidR="007F62AB" w:rsidRPr="007F62AB" w:rsidRDefault="007F62AB" w:rsidP="007F62AB">
            <w:pPr>
              <w:snapToGrid w:val="0"/>
              <w:jc w:val="both"/>
              <w:rPr>
                <w:rFonts w:ascii="Times" w:eastAsia="바탕" w:hAnsi="Times" w:cs="Times New Roman"/>
                <w:sz w:val="20"/>
                <w:lang w:val="en-GB" w:eastAsia="en-US"/>
              </w:rPr>
            </w:pPr>
            <w:r w:rsidRPr="007F62AB">
              <w:rPr>
                <w:rFonts w:ascii="Times" w:eastAsia="바탕" w:hAnsi="Times" w:cs="Times New Roman"/>
                <w:sz w:val="20"/>
                <w:lang w:val="en-GB" w:eastAsia="en-US"/>
              </w:rPr>
              <w:t>For gNB scheduled L1 measurement report for Rel-18 LTM, report as UCI is supported</w:t>
            </w:r>
          </w:p>
          <w:p w14:paraId="12F1210B" w14:textId="77777777" w:rsidR="007F62AB" w:rsidRPr="007F62AB" w:rsidRDefault="007F62AB" w:rsidP="007F62AB">
            <w:pPr>
              <w:numPr>
                <w:ilvl w:val="1"/>
                <w:numId w:val="27"/>
              </w:numPr>
              <w:snapToGrid w:val="0"/>
              <w:jc w:val="both"/>
              <w:rPr>
                <w:rFonts w:ascii="Times" w:eastAsia="바탕" w:hAnsi="Times" w:cs="Times New Roman"/>
                <w:sz w:val="20"/>
                <w:lang w:val="en-GB" w:eastAsia="en-US"/>
              </w:rPr>
            </w:pPr>
            <w:r w:rsidRPr="007F62AB">
              <w:rPr>
                <w:rFonts w:ascii="Times" w:eastAsia="바탕" w:hAnsi="Times" w:cs="Times New Roman"/>
                <w:sz w:val="20"/>
                <w:lang w:val="en-GB" w:eastAsia="en-US"/>
              </w:rPr>
              <w:t>Semi-persistent report on PUSCH, and aperiodic report on PUSCH are supported</w:t>
            </w:r>
          </w:p>
          <w:p w14:paraId="478D67DB" w14:textId="77777777" w:rsidR="007F62AB" w:rsidRPr="007F62AB" w:rsidRDefault="007F62AB" w:rsidP="007F62AB">
            <w:pPr>
              <w:numPr>
                <w:ilvl w:val="2"/>
                <w:numId w:val="27"/>
              </w:numPr>
              <w:snapToGrid w:val="0"/>
              <w:jc w:val="both"/>
              <w:rPr>
                <w:rFonts w:ascii="Times" w:eastAsia="바탕" w:hAnsi="Times" w:cs="Times New Roman"/>
                <w:sz w:val="20"/>
                <w:lang w:val="en-GB" w:eastAsia="en-US"/>
              </w:rPr>
            </w:pPr>
            <w:r w:rsidRPr="007F62AB">
              <w:rPr>
                <w:rFonts w:ascii="Times" w:eastAsia="바탕" w:hAnsi="Times" w:cs="Times New Roman" w:hint="eastAsia"/>
                <w:sz w:val="20"/>
                <w:lang w:val="en-GB" w:eastAsia="en-US"/>
              </w:rPr>
              <w:lastRenderedPageBreak/>
              <w:t>F</w:t>
            </w:r>
            <w:r w:rsidRPr="007F62AB">
              <w:rPr>
                <w:rFonts w:ascii="Times" w:eastAsia="바탕" w:hAnsi="Times" w:cs="Times New Roman"/>
                <w:sz w:val="20"/>
                <w:lang w:val="en-GB" w:eastAsia="en-US"/>
              </w:rPr>
              <w:t>FS: periodic and semi-persistent PUCCH</w:t>
            </w:r>
          </w:p>
          <w:p w14:paraId="4371555E" w14:textId="77777777" w:rsidR="007F62AB" w:rsidRDefault="007F62AB" w:rsidP="007F62AB">
            <w:pPr>
              <w:numPr>
                <w:ilvl w:val="1"/>
                <w:numId w:val="27"/>
              </w:numPr>
              <w:snapToGrid w:val="0"/>
              <w:jc w:val="both"/>
              <w:rPr>
                <w:rFonts w:ascii="Times" w:eastAsia="바탕" w:hAnsi="Times" w:cs="Times New Roman"/>
                <w:sz w:val="20"/>
                <w:lang w:val="en-GB" w:eastAsia="en-US"/>
              </w:rPr>
            </w:pPr>
            <w:r w:rsidRPr="007F62AB">
              <w:rPr>
                <w:rFonts w:ascii="Times" w:eastAsia="바탕" w:hAnsi="Times" w:cs="Times New Roman" w:hint="eastAsia"/>
                <w:sz w:val="20"/>
                <w:lang w:val="en-GB" w:eastAsia="en-US"/>
              </w:rPr>
              <w:t>I</w:t>
            </w:r>
            <w:r w:rsidRPr="007F62AB">
              <w:rPr>
                <w:rFonts w:ascii="Times" w:eastAsia="바탕" w:hAnsi="Times" w:cs="Times New Roman"/>
                <w:sz w:val="20"/>
                <w:lang w:val="en-GB" w:eastAsia="en-US"/>
              </w:rPr>
              <w:t xml:space="preserve">n a single report instance, report for serving cell and candidate cell(s) for intra-frequency and/or inter-frequency can be included. </w:t>
            </w:r>
          </w:p>
          <w:p w14:paraId="6DE4DD6C" w14:textId="77777777" w:rsidR="009B113D" w:rsidRDefault="009B113D" w:rsidP="009B113D">
            <w:pPr>
              <w:snapToGrid w:val="0"/>
              <w:jc w:val="both"/>
              <w:rPr>
                <w:rFonts w:ascii="Times" w:eastAsia="바탕" w:hAnsi="Times" w:cs="Times New Roman"/>
                <w:sz w:val="20"/>
                <w:lang w:val="en-GB" w:eastAsia="en-US"/>
              </w:rPr>
            </w:pPr>
          </w:p>
          <w:p w14:paraId="375FC3A0" w14:textId="31C34036" w:rsidR="009B113D" w:rsidRPr="009B113D" w:rsidRDefault="009B113D" w:rsidP="009B113D">
            <w:pPr>
              <w:pStyle w:val="af0"/>
              <w:spacing w:before="0" w:beforeAutospacing="0" w:after="0" w:afterAutospacing="0"/>
              <w:jc w:val="both"/>
              <w:rPr>
                <w:b/>
                <w:sz w:val="32"/>
              </w:rPr>
            </w:pPr>
            <w:r w:rsidRPr="009B113D">
              <w:rPr>
                <w:rFonts w:ascii="Times New Roman" w:eastAsia="MS Gothic" w:hAnsi="Times New Roman" w:cs="Times New Roman"/>
                <w:b/>
                <w:color w:val="000000"/>
                <w:kern w:val="24"/>
                <w:sz w:val="20"/>
                <w:szCs w:val="16"/>
                <w:highlight w:val="green"/>
                <w:lang w:val="en-GB"/>
              </w:rPr>
              <w:t>Agreement</w:t>
            </w:r>
            <w:r w:rsidR="001E4FF5">
              <w:rPr>
                <w:rFonts w:ascii="Times New Roman" w:eastAsia="MS Gothic" w:hAnsi="Times New Roman" w:cs="Times New Roman"/>
                <w:b/>
                <w:color w:val="000000"/>
                <w:kern w:val="24"/>
                <w:sz w:val="20"/>
                <w:szCs w:val="16"/>
                <w:lang w:val="en-GB"/>
              </w:rPr>
              <w:t xml:space="preserve"> @</w:t>
            </w:r>
            <w:r>
              <w:rPr>
                <w:rFonts w:ascii="Times New Roman" w:eastAsia="MS Gothic" w:hAnsi="Times New Roman" w:cs="Times New Roman"/>
                <w:b/>
                <w:color w:val="000000"/>
                <w:kern w:val="24"/>
                <w:sz w:val="20"/>
                <w:szCs w:val="16"/>
                <w:lang w:val="en-GB"/>
              </w:rPr>
              <w:t>112bis-e</w:t>
            </w:r>
          </w:p>
          <w:p w14:paraId="6E4C716B" w14:textId="77777777" w:rsidR="009B113D" w:rsidRDefault="009B113D" w:rsidP="009B113D">
            <w:pPr>
              <w:snapToGrid w:val="0"/>
              <w:jc w:val="both"/>
              <w:rPr>
                <w:rFonts w:ascii="Times New Roman" w:eastAsia="MS Gothic" w:hAnsi="Times New Roman" w:cs="Times New Roman"/>
                <w:color w:val="000000"/>
                <w:kern w:val="24"/>
                <w:sz w:val="20"/>
                <w:szCs w:val="16"/>
              </w:rPr>
            </w:pPr>
            <w:r w:rsidRPr="009B113D">
              <w:rPr>
                <w:rFonts w:ascii="Times New Roman" w:eastAsia="MS Gothic" w:hAnsi="Times New Roman" w:cs="Times New Roman"/>
                <w:color w:val="000000"/>
                <w:kern w:val="24"/>
                <w:sz w:val="20"/>
                <w:szCs w:val="16"/>
              </w:rPr>
              <w:t>Periodic and semi-persistent report on PUCCH are also supported for gNB scheduled L1-measurement reporting</w:t>
            </w:r>
          </w:p>
          <w:p w14:paraId="05A81434" w14:textId="77777777" w:rsidR="002F1185" w:rsidRDefault="002F1185" w:rsidP="009B113D">
            <w:pPr>
              <w:snapToGrid w:val="0"/>
              <w:jc w:val="both"/>
              <w:rPr>
                <w:rFonts w:ascii="Times New Roman" w:eastAsia="MS Gothic" w:hAnsi="Times New Roman" w:cs="Times New Roman"/>
                <w:color w:val="000000"/>
                <w:kern w:val="24"/>
                <w:sz w:val="20"/>
                <w:szCs w:val="16"/>
              </w:rPr>
            </w:pPr>
          </w:p>
          <w:p w14:paraId="67B601E5" w14:textId="06385C3E" w:rsidR="002F1185" w:rsidRPr="002F1185" w:rsidRDefault="002F1185" w:rsidP="002F1185">
            <w:pPr>
              <w:jc w:val="both"/>
              <w:rPr>
                <w:rFonts w:ascii="Times New Roman" w:hAnsi="Times New Roman" w:cs="Times New Roman"/>
                <w:b/>
                <w:sz w:val="20"/>
                <w:szCs w:val="20"/>
              </w:rPr>
            </w:pPr>
            <w:r w:rsidRPr="002F1185">
              <w:rPr>
                <w:rFonts w:ascii="Times New Roman" w:eastAsia="MS Gothic" w:hAnsi="Times New Roman" w:cs="Times New Roman"/>
                <w:b/>
                <w:color w:val="000000"/>
                <w:kern w:val="24"/>
                <w:sz w:val="20"/>
                <w:szCs w:val="20"/>
                <w:highlight w:val="green"/>
                <w:lang w:val="en-GB"/>
              </w:rPr>
              <w:t>Agreement</w:t>
            </w:r>
            <w:r w:rsidR="001E4FF5">
              <w:rPr>
                <w:rFonts w:ascii="Times New Roman" w:eastAsia="MS Gothic" w:hAnsi="Times New Roman" w:cs="Times New Roman"/>
                <w:b/>
                <w:color w:val="000000"/>
                <w:kern w:val="24"/>
                <w:sz w:val="20"/>
                <w:szCs w:val="20"/>
                <w:lang w:val="en-GB"/>
              </w:rPr>
              <w:t xml:space="preserve"> @</w:t>
            </w:r>
            <w:r>
              <w:rPr>
                <w:rFonts w:ascii="Times New Roman" w:eastAsia="MS Gothic" w:hAnsi="Times New Roman" w:cs="Times New Roman"/>
                <w:b/>
                <w:color w:val="000000"/>
                <w:kern w:val="24"/>
                <w:sz w:val="20"/>
                <w:szCs w:val="20"/>
                <w:lang w:val="en-GB"/>
              </w:rPr>
              <w:t>112bis-e</w:t>
            </w:r>
          </w:p>
          <w:p w14:paraId="4C739BF6" w14:textId="77777777" w:rsidR="002F1185" w:rsidRPr="002F1185" w:rsidRDefault="002F1185" w:rsidP="002F1185">
            <w:pPr>
              <w:jc w:val="both"/>
              <w:rPr>
                <w:rFonts w:ascii="Times New Roman" w:hAnsi="Times New Roman" w:cs="Times New Roman"/>
                <w:sz w:val="20"/>
                <w:szCs w:val="20"/>
              </w:rPr>
            </w:pPr>
            <w:r w:rsidRPr="002F1185">
              <w:rPr>
                <w:rFonts w:ascii="Times New Roman" w:eastAsia="MS Gothic" w:hAnsi="Times New Roman" w:cs="Times New Roman"/>
                <w:color w:val="000000"/>
                <w:kern w:val="24"/>
                <w:sz w:val="20"/>
                <w:szCs w:val="20"/>
                <w:lang w:val="en-GB"/>
              </w:rPr>
              <w:t>For the beam selection for SSB based L1-RSRP measurement report,</w:t>
            </w:r>
          </w:p>
          <w:p w14:paraId="0A330A2E" w14:textId="77777777" w:rsidR="002F1185" w:rsidRDefault="002F1185" w:rsidP="002F1185">
            <w:pPr>
              <w:numPr>
                <w:ilvl w:val="1"/>
                <w:numId w:val="27"/>
              </w:numPr>
              <w:snapToGrid w:val="0"/>
              <w:jc w:val="both"/>
              <w:rPr>
                <w:rFonts w:ascii="Times" w:eastAsia="바탕" w:hAnsi="Times" w:cs="Times New Roman"/>
                <w:sz w:val="20"/>
                <w:lang w:val="en-GB" w:eastAsia="en-US"/>
              </w:rPr>
            </w:pPr>
            <w:r w:rsidRPr="002F1185">
              <w:rPr>
                <w:rFonts w:ascii="Times" w:eastAsia="바탕" w:hAnsi="Times" w:cs="Times New Roman"/>
                <w:sz w:val="20"/>
                <w:lang w:val="en-GB" w:eastAsia="en-US"/>
              </w:rPr>
              <w:t xml:space="preserve">Beam selection is performed across the L cells from configured (or activated, if introduced) cells, i.e. M beams for each of the L cells </w:t>
            </w:r>
          </w:p>
          <w:p w14:paraId="631A4A12" w14:textId="77777777" w:rsidR="002F1185" w:rsidRPr="002F1185" w:rsidRDefault="002F1185" w:rsidP="002F1185">
            <w:pPr>
              <w:numPr>
                <w:ilvl w:val="2"/>
                <w:numId w:val="27"/>
              </w:numPr>
              <w:snapToGrid w:val="0"/>
              <w:jc w:val="both"/>
              <w:rPr>
                <w:rFonts w:ascii="Times" w:eastAsia="바탕" w:hAnsi="Times" w:cs="Times New Roman"/>
                <w:sz w:val="20"/>
                <w:lang w:val="en-GB" w:eastAsia="en-US"/>
              </w:rPr>
            </w:pPr>
            <w:r>
              <w:rPr>
                <w:rFonts w:ascii="Times" w:eastAsia="바탕" w:hAnsi="Times" w:cs="Times New Roman"/>
                <w:sz w:val="20"/>
                <w:lang w:val="en-GB" w:eastAsia="en-US"/>
              </w:rPr>
              <w:t>FFS: How to select the L cells and M beams per cells is up to UE</w:t>
            </w:r>
          </w:p>
          <w:p w14:paraId="029879B2" w14:textId="77777777" w:rsidR="002F1185" w:rsidRPr="002F1185" w:rsidRDefault="002F1185" w:rsidP="002F1185">
            <w:pPr>
              <w:numPr>
                <w:ilvl w:val="1"/>
                <w:numId w:val="27"/>
              </w:numPr>
              <w:snapToGrid w:val="0"/>
              <w:jc w:val="both"/>
              <w:rPr>
                <w:rFonts w:ascii="Times" w:eastAsia="바탕" w:hAnsi="Times" w:cs="Times New Roman"/>
                <w:sz w:val="20"/>
                <w:lang w:val="en-GB" w:eastAsia="en-US"/>
              </w:rPr>
            </w:pPr>
            <w:r w:rsidRPr="002F1185">
              <w:rPr>
                <w:rFonts w:ascii="Times" w:eastAsia="바탕" w:hAnsi="Times" w:cs="Times New Roman"/>
                <w:sz w:val="20"/>
                <w:lang w:val="en-GB" w:eastAsia="en-US"/>
              </w:rPr>
              <w:t>M x L beams are reported in a single report instance</w:t>
            </w:r>
          </w:p>
          <w:p w14:paraId="2E815D62" w14:textId="77777777" w:rsidR="002F1185" w:rsidRDefault="002F1185" w:rsidP="002F1185">
            <w:pPr>
              <w:numPr>
                <w:ilvl w:val="2"/>
                <w:numId w:val="27"/>
              </w:numPr>
              <w:snapToGrid w:val="0"/>
              <w:jc w:val="both"/>
              <w:rPr>
                <w:rFonts w:ascii="Times" w:eastAsia="바탕" w:hAnsi="Times" w:cs="Times New Roman"/>
                <w:sz w:val="20"/>
                <w:lang w:val="en-GB" w:eastAsia="en-US"/>
              </w:rPr>
            </w:pPr>
            <w:r>
              <w:rPr>
                <w:rFonts w:ascii="Times" w:eastAsia="바탕" w:hAnsi="Times" w:cs="Times New Roman" w:hint="eastAsia"/>
                <w:sz w:val="20"/>
                <w:lang w:val="en-GB"/>
              </w:rPr>
              <w:t>Max numbers of M and L are based on UE capability, and at least M x L=4 is supported as a UE capability, other UE capabilities are FFS</w:t>
            </w:r>
          </w:p>
          <w:p w14:paraId="33E84987" w14:textId="77777777" w:rsidR="002F1185" w:rsidRDefault="002F1185" w:rsidP="002F1185">
            <w:pPr>
              <w:numPr>
                <w:ilvl w:val="3"/>
                <w:numId w:val="27"/>
              </w:numPr>
              <w:snapToGrid w:val="0"/>
              <w:jc w:val="both"/>
              <w:rPr>
                <w:rFonts w:ascii="Times" w:eastAsia="바탕" w:hAnsi="Times" w:cs="Times New Roman"/>
                <w:sz w:val="20"/>
                <w:lang w:val="en-GB" w:eastAsia="en-US"/>
              </w:rPr>
            </w:pPr>
            <w:r>
              <w:rPr>
                <w:rFonts w:ascii="Times" w:eastAsia="바탕" w:hAnsi="Times" w:cs="Times New Roman"/>
                <w:sz w:val="20"/>
                <w:lang w:val="en-GB"/>
              </w:rPr>
              <w:t>FFS: if UE is allowed to report less than M x L beams</w:t>
            </w:r>
          </w:p>
          <w:p w14:paraId="7159911D" w14:textId="77777777" w:rsidR="002F1185" w:rsidRDefault="002F1185" w:rsidP="002F1185">
            <w:pPr>
              <w:numPr>
                <w:ilvl w:val="2"/>
                <w:numId w:val="27"/>
              </w:numPr>
              <w:snapToGrid w:val="0"/>
              <w:jc w:val="both"/>
              <w:rPr>
                <w:rFonts w:ascii="Times" w:eastAsia="바탕" w:hAnsi="Times" w:cs="Times New Roman"/>
                <w:sz w:val="20"/>
                <w:lang w:val="en-GB" w:eastAsia="en-US"/>
              </w:rPr>
            </w:pPr>
            <w:r>
              <w:rPr>
                <w:rFonts w:ascii="Times" w:eastAsia="바탕" w:hAnsi="Times" w:cs="Times New Roman"/>
                <w:sz w:val="20"/>
                <w:lang w:val="en-GB"/>
              </w:rPr>
              <w:t>The values of M and L are configured to the UE in the reporting configuration</w:t>
            </w:r>
          </w:p>
          <w:p w14:paraId="1420F3E8" w14:textId="77777777" w:rsidR="002F1185" w:rsidRDefault="002F1185" w:rsidP="002F1185">
            <w:pPr>
              <w:numPr>
                <w:ilvl w:val="1"/>
                <w:numId w:val="27"/>
              </w:numPr>
              <w:snapToGrid w:val="0"/>
              <w:jc w:val="both"/>
              <w:rPr>
                <w:rFonts w:ascii="Times" w:eastAsia="바탕" w:hAnsi="Times" w:cs="Times New Roman"/>
                <w:sz w:val="20"/>
                <w:lang w:val="en-GB" w:eastAsia="en-US"/>
              </w:rPr>
            </w:pPr>
            <w:r>
              <w:rPr>
                <w:rFonts w:ascii="Times" w:eastAsia="바탕" w:hAnsi="Times" w:cs="Times New Roman"/>
                <w:sz w:val="20"/>
                <w:lang w:val="en-GB"/>
              </w:rPr>
              <w:t>FFS: The following configurability is introduced in the reporting configuration</w:t>
            </w:r>
          </w:p>
          <w:p w14:paraId="4F39D430" w14:textId="77777777" w:rsidR="002F1185" w:rsidRDefault="002F1185" w:rsidP="002F1185">
            <w:pPr>
              <w:numPr>
                <w:ilvl w:val="2"/>
                <w:numId w:val="27"/>
              </w:numPr>
              <w:snapToGrid w:val="0"/>
              <w:jc w:val="both"/>
              <w:rPr>
                <w:rFonts w:ascii="Times" w:eastAsia="바탕" w:hAnsi="Times" w:cs="Times New Roman"/>
                <w:sz w:val="20"/>
                <w:lang w:val="en-GB" w:eastAsia="en-US"/>
              </w:rPr>
            </w:pPr>
            <w:r>
              <w:rPr>
                <w:rFonts w:ascii="Times" w:eastAsia="바탕" w:hAnsi="Times" w:cs="Times New Roman"/>
                <w:sz w:val="20"/>
                <w:lang w:val="en-GB"/>
              </w:rPr>
              <w:t>1) Whether serving cell is always selected in the L cell selection performed by the UE, and applicable when a UE is configured with L&gt;=2</w:t>
            </w:r>
          </w:p>
          <w:p w14:paraId="5621ED31" w14:textId="6811EB53" w:rsidR="002F1185" w:rsidRPr="002F1185" w:rsidRDefault="002F1185" w:rsidP="002F1185">
            <w:pPr>
              <w:numPr>
                <w:ilvl w:val="2"/>
                <w:numId w:val="27"/>
              </w:numPr>
              <w:snapToGrid w:val="0"/>
              <w:jc w:val="both"/>
              <w:rPr>
                <w:rFonts w:ascii="Times" w:eastAsia="바탕" w:hAnsi="Times" w:cs="Times New Roman"/>
                <w:sz w:val="20"/>
                <w:lang w:val="en-GB"/>
              </w:rPr>
            </w:pPr>
            <w:r>
              <w:rPr>
                <w:rFonts w:ascii="Times" w:eastAsia="바탕" w:hAnsi="Times" w:cs="Times New Roman"/>
                <w:sz w:val="20"/>
                <w:lang w:val="en-GB"/>
              </w:rPr>
              <w:t>2) At least one of the inter-frequency cells is always selected in the L cell selection performed by the UE, and applicable when a UE is configured with L&gt;=2 and at least one cell in inter-frequency</w:t>
            </w:r>
          </w:p>
        </w:tc>
      </w:tr>
    </w:tbl>
    <w:p w14:paraId="76C2B070" w14:textId="0CB42C28" w:rsidR="004A6C42" w:rsidRDefault="004A6C42" w:rsidP="00903007">
      <w:pPr>
        <w:pStyle w:val="LGTdoc1"/>
        <w:snapToGrid/>
        <w:spacing w:beforeLines="0" w:before="100" w:beforeAutospacing="1" w:after="0" w:afterAutospacing="0" w:line="360" w:lineRule="auto"/>
        <w:ind w:firstLineChars="100" w:firstLine="220"/>
        <w:contextualSpacing/>
        <w:rPr>
          <w:b w:val="0"/>
          <w:sz w:val="22"/>
        </w:rPr>
      </w:pPr>
      <w:r>
        <w:rPr>
          <w:b w:val="0"/>
          <w:sz w:val="22"/>
        </w:rPr>
        <w:lastRenderedPageBreak/>
        <w:t xml:space="preserve">On </w:t>
      </w:r>
      <w:r w:rsidR="001A1D46">
        <w:rPr>
          <w:b w:val="0"/>
          <w:sz w:val="22"/>
        </w:rPr>
        <w:t xml:space="preserve">the </w:t>
      </w:r>
      <w:r w:rsidR="00E72A6A">
        <w:rPr>
          <w:b w:val="0"/>
          <w:sz w:val="22"/>
        </w:rPr>
        <w:t xml:space="preserve">measurement </w:t>
      </w:r>
      <w:r w:rsidR="001A1D46">
        <w:rPr>
          <w:b w:val="0"/>
          <w:sz w:val="22"/>
        </w:rPr>
        <w:t xml:space="preserve">reporting </w:t>
      </w:r>
      <w:r w:rsidR="00E72A6A">
        <w:rPr>
          <w:b w:val="0"/>
          <w:sz w:val="22"/>
        </w:rPr>
        <w:t>mechanism</w:t>
      </w:r>
      <w:r w:rsidR="001A1D46">
        <w:rPr>
          <w:b w:val="0"/>
          <w:sz w:val="22"/>
        </w:rPr>
        <w:t xml:space="preserve">, the measurement can also be reported with L2 signalling (i.e. MAC-CE) not only with L1 signalling (i.e. UCI). </w:t>
      </w:r>
      <w:r w:rsidR="00B7136D">
        <w:rPr>
          <w:b w:val="0"/>
          <w:sz w:val="22"/>
        </w:rPr>
        <w:t>Especially for UE-initiated (i.e. event/UE-triggered)</w:t>
      </w:r>
      <w:r w:rsidR="00E72A6A">
        <w:rPr>
          <w:b w:val="0"/>
          <w:sz w:val="22"/>
        </w:rPr>
        <w:t xml:space="preserve"> case</w:t>
      </w:r>
      <w:r w:rsidR="00B7136D">
        <w:rPr>
          <w:b w:val="0"/>
          <w:sz w:val="22"/>
        </w:rPr>
        <w:t>,</w:t>
      </w:r>
      <w:r w:rsidR="00561B51">
        <w:rPr>
          <w:b w:val="0"/>
          <w:sz w:val="22"/>
        </w:rPr>
        <w:t xml:space="preserve"> </w:t>
      </w:r>
      <w:r w:rsidR="004B4E87">
        <w:rPr>
          <w:b w:val="0"/>
          <w:sz w:val="22"/>
        </w:rPr>
        <w:t>using MAC-CE</w:t>
      </w:r>
      <w:r w:rsidR="00561B51">
        <w:rPr>
          <w:b w:val="0"/>
          <w:sz w:val="22"/>
        </w:rPr>
        <w:t xml:space="preserve"> can be </w:t>
      </w:r>
      <w:r w:rsidR="004B4E87">
        <w:rPr>
          <w:b w:val="0"/>
          <w:sz w:val="22"/>
        </w:rPr>
        <w:t>applied</w:t>
      </w:r>
      <w:r w:rsidR="00561B51">
        <w:rPr>
          <w:b w:val="0"/>
          <w:sz w:val="22"/>
        </w:rPr>
        <w:t xml:space="preserve"> </w:t>
      </w:r>
      <w:r w:rsidR="00E72A6A">
        <w:rPr>
          <w:b w:val="0"/>
          <w:sz w:val="22"/>
        </w:rPr>
        <w:t xml:space="preserve">when PUCCH </w:t>
      </w:r>
      <w:r w:rsidR="004B4E87">
        <w:rPr>
          <w:b w:val="0"/>
          <w:sz w:val="22"/>
        </w:rPr>
        <w:t>is to report whether the event is triggered as similar to scheduling request</w:t>
      </w:r>
      <w:r w:rsidR="00EC0323">
        <w:rPr>
          <w:b w:val="0"/>
          <w:sz w:val="22"/>
        </w:rPr>
        <w:t xml:space="preserve"> (SR)</w:t>
      </w:r>
      <w:r w:rsidR="004B4E87">
        <w:rPr>
          <w:b w:val="0"/>
          <w:sz w:val="22"/>
        </w:rPr>
        <w:t xml:space="preserve"> or SCell BFR</w:t>
      </w:r>
      <w:r w:rsidR="00561B51">
        <w:rPr>
          <w:b w:val="0"/>
          <w:sz w:val="22"/>
        </w:rPr>
        <w:t>, e.g.,</w:t>
      </w:r>
      <w:r w:rsidR="004B4E87">
        <w:rPr>
          <w:b w:val="0"/>
          <w:sz w:val="22"/>
        </w:rPr>
        <w:t xml:space="preserve"> with 1-bit indication for</w:t>
      </w:r>
      <w:r w:rsidR="00561B51">
        <w:rPr>
          <w:b w:val="0"/>
          <w:sz w:val="22"/>
        </w:rPr>
        <w:t xml:space="preserve"> </w:t>
      </w:r>
      <w:r w:rsidR="004B4E87">
        <w:rPr>
          <w:b w:val="0"/>
          <w:sz w:val="22"/>
        </w:rPr>
        <w:t>the event by</w:t>
      </w:r>
      <w:r w:rsidR="00561B51">
        <w:rPr>
          <w:b w:val="0"/>
          <w:sz w:val="22"/>
        </w:rPr>
        <w:t xml:space="preserve"> PUCCH format 0/1 and the corresponding detailed information </w:t>
      </w:r>
      <w:r w:rsidR="004B4E87">
        <w:rPr>
          <w:b w:val="0"/>
          <w:sz w:val="22"/>
        </w:rPr>
        <w:t>(e.g., beam index and the corresponding RSRP) can be reported via L2 signalling on PUSCH</w:t>
      </w:r>
      <w:r w:rsidR="00561B51">
        <w:rPr>
          <w:b w:val="0"/>
          <w:sz w:val="22"/>
        </w:rPr>
        <w:t>.</w:t>
      </w:r>
    </w:p>
    <w:p w14:paraId="433F3FF2" w14:textId="7B716EB0" w:rsidR="00BB0DED" w:rsidRDefault="004B46F6" w:rsidP="00903007">
      <w:pPr>
        <w:pStyle w:val="LGTdoc1"/>
        <w:snapToGrid/>
        <w:spacing w:beforeLines="0" w:before="100" w:beforeAutospacing="1" w:after="0" w:afterAutospacing="0" w:line="360" w:lineRule="auto"/>
        <w:ind w:firstLineChars="100" w:firstLine="220"/>
        <w:contextualSpacing/>
        <w:rPr>
          <w:b w:val="0"/>
          <w:sz w:val="22"/>
        </w:rPr>
      </w:pPr>
      <w:r>
        <w:rPr>
          <w:b w:val="0"/>
          <w:sz w:val="22"/>
        </w:rPr>
        <w:t>R</w:t>
      </w:r>
      <w:r w:rsidR="007F62AB">
        <w:rPr>
          <w:b w:val="0"/>
          <w:sz w:val="22"/>
        </w:rPr>
        <w:t xml:space="preserve">egarding the maximum number of the measurements </w:t>
      </w:r>
      <w:r w:rsidR="007377EA">
        <w:rPr>
          <w:b w:val="0"/>
          <w:sz w:val="22"/>
        </w:rPr>
        <w:t>and the reporting format</w:t>
      </w:r>
      <w:r w:rsidR="004A6C42">
        <w:rPr>
          <w:b w:val="0"/>
          <w:sz w:val="22"/>
        </w:rPr>
        <w:t xml:space="preserve"> as the above</w:t>
      </w:r>
      <w:r w:rsidR="007F62AB">
        <w:rPr>
          <w:b w:val="0"/>
          <w:sz w:val="22"/>
        </w:rPr>
        <w:t xml:space="preserve">, it seems reasonable </w:t>
      </w:r>
      <w:r w:rsidR="007377EA">
        <w:rPr>
          <w:b w:val="0"/>
          <w:sz w:val="22"/>
        </w:rPr>
        <w:t>to reuse Rel-17 ICBM reporting format</w:t>
      </w:r>
      <w:r w:rsidR="004A6C42">
        <w:rPr>
          <w:b w:val="0"/>
          <w:sz w:val="22"/>
        </w:rPr>
        <w:t xml:space="preserve"> and the quantization method where 7-bit absolute value and 4-bit differential value for </w:t>
      </w:r>
      <w:r w:rsidR="006A4431">
        <w:rPr>
          <w:b w:val="0"/>
          <w:sz w:val="22"/>
        </w:rPr>
        <w:t>L1-RSRP reporting</w:t>
      </w:r>
      <w:r w:rsidR="007377EA">
        <w:rPr>
          <w:b w:val="0"/>
          <w:sz w:val="22"/>
        </w:rPr>
        <w:t xml:space="preserve"> for Rel-18 LTM considering intra- and inter-frequency measurement since the reporting index of configured RS can be decided based on the RS index and its PCI as the same way in Rel-17</w:t>
      </w:r>
      <w:r w:rsidR="006A4431">
        <w:rPr>
          <w:b w:val="0"/>
          <w:sz w:val="22"/>
        </w:rPr>
        <w:t xml:space="preserve"> and the quantization method still supports intra-/inter-frequency because the 4-bit differential RSRP covers up to 30 dB RSRP difference.</w:t>
      </w:r>
      <w:r w:rsidR="00B042C3">
        <w:rPr>
          <w:b w:val="0"/>
          <w:sz w:val="22"/>
        </w:rPr>
        <w:t xml:space="preserve"> </w:t>
      </w:r>
      <w:r>
        <w:rPr>
          <w:b w:val="0"/>
          <w:sz w:val="22"/>
        </w:rPr>
        <w:t>On the max number of reported measurements</w:t>
      </w:r>
      <w:r w:rsidR="00886F44">
        <w:rPr>
          <w:b w:val="0"/>
          <w:sz w:val="22"/>
        </w:rPr>
        <w:t>, it needs to be extended with</w:t>
      </w:r>
      <w:r>
        <w:rPr>
          <w:b w:val="0"/>
          <w:sz w:val="22"/>
        </w:rPr>
        <w:t xml:space="preserve"> larger than 4 since the current value 4 is decided </w:t>
      </w:r>
      <w:r w:rsidR="00886F44">
        <w:rPr>
          <w:b w:val="0"/>
          <w:sz w:val="22"/>
        </w:rPr>
        <w:t xml:space="preserve">only </w:t>
      </w:r>
      <w:r>
        <w:rPr>
          <w:b w:val="0"/>
          <w:sz w:val="22"/>
        </w:rPr>
        <w:t>for intra-frequency case</w:t>
      </w:r>
      <w:r w:rsidR="00886F44">
        <w:rPr>
          <w:b w:val="0"/>
          <w:sz w:val="22"/>
        </w:rPr>
        <w:t>.</w:t>
      </w:r>
      <w:r w:rsidR="001E4FF5">
        <w:rPr>
          <w:b w:val="0"/>
          <w:sz w:val="22"/>
        </w:rPr>
        <w:t xml:space="preserve"> Accordingly, for the FFS whether UE is allowed to report less than M x L beams, the benefit is unclear and seem just for the optimization since the max numbers of M and L are based on UE capability and the corresponding combination for M and L is guaranteed to meet the requirement at least M x </w:t>
      </w:r>
      <w:r w:rsidR="00A705AB">
        <w:rPr>
          <w:b w:val="0"/>
          <w:sz w:val="22"/>
        </w:rPr>
        <w:t>L</w:t>
      </w:r>
      <w:r w:rsidR="001E4FF5">
        <w:rPr>
          <w:b w:val="0"/>
          <w:sz w:val="22"/>
        </w:rPr>
        <w:t>=4 as legacy.</w:t>
      </w:r>
      <w:r w:rsidR="004A6C42">
        <w:rPr>
          <w:b w:val="0"/>
          <w:sz w:val="22"/>
        </w:rPr>
        <w:t xml:space="preserve"> Also for the configurability on L cell selection, it should be aligned with the Rel-17 ICBM reporting mechanism that it allows UE to report the measurement by mixing the serving cell and candidate cells and there is no restriction at least one measurement is from </w:t>
      </w:r>
      <w:r w:rsidR="004A6C42">
        <w:rPr>
          <w:b w:val="0"/>
          <w:sz w:val="22"/>
        </w:rPr>
        <w:lastRenderedPageBreak/>
        <w:t>the serving cell</w:t>
      </w:r>
      <w:r w:rsidR="006A4431">
        <w:rPr>
          <w:b w:val="0"/>
          <w:sz w:val="22"/>
        </w:rPr>
        <w:t xml:space="preserve">. While the similar issue was discussed in Rel-17 multi-beam, </w:t>
      </w:r>
      <w:r w:rsidR="001A1D46">
        <w:rPr>
          <w:b w:val="0"/>
          <w:sz w:val="22"/>
        </w:rPr>
        <w:t xml:space="preserve">there was a clear common understanding that </w:t>
      </w:r>
      <w:r w:rsidR="006A4431">
        <w:rPr>
          <w:b w:val="0"/>
          <w:sz w:val="22"/>
        </w:rPr>
        <w:t>performing beam selection in the beam report could be based on measured RSRP values.</w:t>
      </w:r>
    </w:p>
    <w:p w14:paraId="0F102C81" w14:textId="77777777" w:rsidR="007F62AB" w:rsidRDefault="007F62AB" w:rsidP="007F62AB">
      <w:pPr>
        <w:pStyle w:val="LGTdoc1"/>
        <w:snapToGrid/>
        <w:spacing w:beforeLines="0" w:before="100" w:beforeAutospacing="1" w:after="0" w:afterAutospacing="0" w:line="360" w:lineRule="auto"/>
        <w:contextualSpacing/>
        <w:rPr>
          <w:b w:val="0"/>
          <w:sz w:val="22"/>
        </w:rPr>
      </w:pPr>
    </w:p>
    <w:p w14:paraId="42B44282" w14:textId="1BC14CFA" w:rsidR="007F62AB" w:rsidRDefault="007F62AB" w:rsidP="007F62AB">
      <w:pPr>
        <w:pStyle w:val="LGTdoc1"/>
        <w:snapToGrid/>
        <w:spacing w:line="360" w:lineRule="auto"/>
        <w:contextualSpacing/>
        <w:rPr>
          <w:sz w:val="22"/>
        </w:rPr>
      </w:pPr>
      <w:r>
        <w:rPr>
          <w:sz w:val="22"/>
        </w:rPr>
        <w:t xml:space="preserve">Proposal #2: </w:t>
      </w:r>
      <w:r w:rsidR="001E4FF5">
        <w:rPr>
          <w:sz w:val="22"/>
        </w:rPr>
        <w:t xml:space="preserve">Consider </w:t>
      </w:r>
      <w:r w:rsidR="00B7136D">
        <w:rPr>
          <w:sz w:val="22"/>
        </w:rPr>
        <w:t xml:space="preserve">at least </w:t>
      </w:r>
      <w:r w:rsidR="001E4FF5">
        <w:rPr>
          <w:sz w:val="22"/>
        </w:rPr>
        <w:t xml:space="preserve">gNB scheduled </w:t>
      </w:r>
      <w:r>
        <w:rPr>
          <w:sz w:val="22"/>
        </w:rPr>
        <w:t xml:space="preserve">measurement reporting </w:t>
      </w:r>
      <w:r w:rsidR="004B4E87">
        <w:rPr>
          <w:sz w:val="22"/>
        </w:rPr>
        <w:t xml:space="preserve">via </w:t>
      </w:r>
      <w:r w:rsidR="001E4FF5">
        <w:rPr>
          <w:sz w:val="22"/>
        </w:rPr>
        <w:t>MAC-CE.</w:t>
      </w:r>
    </w:p>
    <w:p w14:paraId="78D5219E" w14:textId="34706C2F" w:rsidR="007F62AB" w:rsidRDefault="007377EA" w:rsidP="007377EA">
      <w:pPr>
        <w:pStyle w:val="LGTdoc1"/>
        <w:snapToGrid/>
        <w:spacing w:beforeLines="0" w:before="100" w:beforeAutospacing="1" w:after="0" w:afterAutospacing="0" w:line="360" w:lineRule="auto"/>
        <w:contextualSpacing/>
        <w:rPr>
          <w:sz w:val="22"/>
        </w:rPr>
      </w:pPr>
      <w:r>
        <w:rPr>
          <w:sz w:val="22"/>
        </w:rPr>
        <w:t>Proposal #3: Support to reuse the reporting format</w:t>
      </w:r>
      <w:r w:rsidR="004A6C42">
        <w:rPr>
          <w:sz w:val="22"/>
        </w:rPr>
        <w:t xml:space="preserve"> and quantization</w:t>
      </w:r>
      <w:r>
        <w:rPr>
          <w:sz w:val="22"/>
        </w:rPr>
        <w:t xml:space="preserve"> in Rel-17 ICBM for Rel-18 LTM</w:t>
      </w:r>
    </w:p>
    <w:p w14:paraId="67974821" w14:textId="7778B07E" w:rsidR="007377EA" w:rsidRDefault="007377EA" w:rsidP="00886F44">
      <w:pPr>
        <w:pStyle w:val="LGTdoc1"/>
        <w:numPr>
          <w:ilvl w:val="0"/>
          <w:numId w:val="16"/>
        </w:numPr>
        <w:snapToGrid/>
        <w:spacing w:line="360" w:lineRule="auto"/>
        <w:contextualSpacing/>
        <w:rPr>
          <w:sz w:val="22"/>
        </w:rPr>
      </w:pPr>
      <w:r>
        <w:rPr>
          <w:sz w:val="22"/>
        </w:rPr>
        <w:t xml:space="preserve">Consider </w:t>
      </w:r>
      <w:r w:rsidR="004B46F6">
        <w:rPr>
          <w:sz w:val="22"/>
        </w:rPr>
        <w:t xml:space="preserve">the larger value </w:t>
      </w:r>
      <w:r w:rsidR="00903007">
        <w:rPr>
          <w:rFonts w:hint="eastAsia"/>
          <w:sz w:val="22"/>
        </w:rPr>
        <w:t xml:space="preserve">for </w:t>
      </w:r>
      <w:r w:rsidR="004B46F6">
        <w:rPr>
          <w:sz w:val="22"/>
        </w:rPr>
        <w:t xml:space="preserve">the max number of reported measurements </w:t>
      </w:r>
      <w:r w:rsidR="00903007">
        <w:rPr>
          <w:sz w:val="22"/>
        </w:rPr>
        <w:t xml:space="preserve">than legacy value, i.e., 4, </w:t>
      </w:r>
      <w:r w:rsidR="004B46F6">
        <w:rPr>
          <w:sz w:val="22"/>
        </w:rPr>
        <w:t>for inter-frequency measurement</w:t>
      </w:r>
    </w:p>
    <w:p w14:paraId="6C17C875" w14:textId="677225EA" w:rsidR="004A6C42" w:rsidRDefault="004A6C42" w:rsidP="001A1D46">
      <w:pPr>
        <w:pStyle w:val="LGTdoc1"/>
        <w:numPr>
          <w:ilvl w:val="1"/>
          <w:numId w:val="16"/>
        </w:numPr>
        <w:snapToGrid/>
        <w:spacing w:line="360" w:lineRule="auto"/>
        <w:contextualSpacing/>
        <w:rPr>
          <w:sz w:val="22"/>
        </w:rPr>
      </w:pPr>
      <w:r>
        <w:rPr>
          <w:sz w:val="22"/>
        </w:rPr>
        <w:t>Not consider that a UE is allowed to report less than M x L beams</w:t>
      </w:r>
    </w:p>
    <w:p w14:paraId="21257420" w14:textId="463A5C1A" w:rsidR="004A6C42" w:rsidRPr="00886F44" w:rsidRDefault="001A1D46" w:rsidP="00886F44">
      <w:pPr>
        <w:pStyle w:val="LGTdoc1"/>
        <w:numPr>
          <w:ilvl w:val="0"/>
          <w:numId w:val="16"/>
        </w:numPr>
        <w:snapToGrid/>
        <w:spacing w:line="360" w:lineRule="auto"/>
        <w:contextualSpacing/>
        <w:rPr>
          <w:sz w:val="22"/>
        </w:rPr>
      </w:pPr>
      <w:r>
        <w:rPr>
          <w:rFonts w:hint="eastAsia"/>
          <w:sz w:val="22"/>
        </w:rPr>
        <w:t xml:space="preserve">Not consider the configurability </w:t>
      </w:r>
      <w:r w:rsidR="00561B51">
        <w:rPr>
          <w:sz w:val="22"/>
        </w:rPr>
        <w:t>on</w:t>
      </w:r>
      <w:r>
        <w:rPr>
          <w:sz w:val="22"/>
        </w:rPr>
        <w:t xml:space="preserve"> the serving cell and/or inter-frequency cell</w:t>
      </w:r>
      <w:r w:rsidR="00561B51">
        <w:rPr>
          <w:sz w:val="22"/>
        </w:rPr>
        <w:t xml:space="preserve"> for</w:t>
      </w:r>
      <w:r w:rsidR="00561B51">
        <w:rPr>
          <w:rFonts w:hint="eastAsia"/>
          <w:sz w:val="22"/>
        </w:rPr>
        <w:t xml:space="preserve"> L cell</w:t>
      </w:r>
      <w:r w:rsidR="00561B51">
        <w:rPr>
          <w:sz w:val="22"/>
        </w:rPr>
        <w:t xml:space="preserve"> selection</w:t>
      </w:r>
    </w:p>
    <w:p w14:paraId="21AF3FB7" w14:textId="77777777" w:rsidR="004B46F6" w:rsidRDefault="004B46F6" w:rsidP="004F658D">
      <w:pPr>
        <w:pStyle w:val="LGTdoc1"/>
        <w:snapToGrid/>
        <w:spacing w:beforeLines="0" w:before="100" w:beforeAutospacing="1" w:after="0" w:afterAutospacing="0" w:line="360" w:lineRule="auto"/>
        <w:ind w:firstLineChars="150" w:firstLine="330"/>
        <w:contextualSpacing/>
        <w:rPr>
          <w:b w:val="0"/>
          <w:sz w:val="22"/>
        </w:rPr>
      </w:pPr>
    </w:p>
    <w:p w14:paraId="75F8D6D5" w14:textId="6AC30F91" w:rsidR="00391DA0" w:rsidRDefault="003702CC" w:rsidP="004F658D">
      <w:pPr>
        <w:pStyle w:val="LGTdoc1"/>
        <w:snapToGrid/>
        <w:spacing w:beforeLines="0" w:before="100" w:beforeAutospacing="1" w:after="0" w:afterAutospacing="0" w:line="360" w:lineRule="auto"/>
        <w:ind w:firstLineChars="150" w:firstLine="330"/>
        <w:contextualSpacing/>
        <w:rPr>
          <w:b w:val="0"/>
          <w:sz w:val="22"/>
        </w:rPr>
      </w:pPr>
      <w:r>
        <w:rPr>
          <w:b w:val="0"/>
          <w:sz w:val="22"/>
        </w:rPr>
        <w:t>In RAN</w:t>
      </w:r>
      <w:r w:rsidR="00442C0C">
        <w:rPr>
          <w:b w:val="0"/>
          <w:sz w:val="22"/>
        </w:rPr>
        <w:t>#</w:t>
      </w:r>
      <w:r>
        <w:rPr>
          <w:b w:val="0"/>
          <w:sz w:val="22"/>
        </w:rPr>
        <w:t>1</w:t>
      </w:r>
      <w:r w:rsidR="00442C0C">
        <w:rPr>
          <w:b w:val="0"/>
          <w:sz w:val="22"/>
        </w:rPr>
        <w:t>1</w:t>
      </w:r>
      <w:r w:rsidR="00391DA0">
        <w:rPr>
          <w:b w:val="0"/>
          <w:sz w:val="22"/>
        </w:rPr>
        <w:t>1</w:t>
      </w:r>
      <w:r>
        <w:rPr>
          <w:b w:val="0"/>
          <w:sz w:val="22"/>
        </w:rPr>
        <w:t xml:space="preserve">, </w:t>
      </w:r>
      <w:r w:rsidR="00973108">
        <w:rPr>
          <w:b w:val="0"/>
          <w:sz w:val="22"/>
        </w:rPr>
        <w:t>the agreement w</w:t>
      </w:r>
      <w:r w:rsidR="00C509BE">
        <w:rPr>
          <w:b w:val="0"/>
          <w:sz w:val="22"/>
        </w:rPr>
        <w:t>as</w:t>
      </w:r>
      <w:r w:rsidR="00973108">
        <w:rPr>
          <w:b w:val="0"/>
          <w:sz w:val="22"/>
        </w:rPr>
        <w:t xml:space="preserve"> made on </w:t>
      </w:r>
      <w:r w:rsidR="00074424">
        <w:rPr>
          <w:b w:val="0"/>
          <w:sz w:val="22"/>
        </w:rPr>
        <w:t>UE/event triggered report for L1 measurement</w:t>
      </w:r>
      <w:r w:rsidR="00B60123">
        <w:rPr>
          <w:b w:val="0"/>
          <w:sz w:val="22"/>
        </w:rPr>
        <w:t xml:space="preserve"> as follows</w:t>
      </w:r>
      <w:r w:rsidR="00074424">
        <w:rPr>
          <w:b w:val="0"/>
          <w:sz w:val="22"/>
        </w:rPr>
        <w:t>.</w:t>
      </w:r>
    </w:p>
    <w:tbl>
      <w:tblPr>
        <w:tblStyle w:val="ad"/>
        <w:tblW w:w="0" w:type="auto"/>
        <w:tblLook w:val="04A0" w:firstRow="1" w:lastRow="0" w:firstColumn="1" w:lastColumn="0" w:noHBand="0" w:noVBand="1"/>
      </w:tblPr>
      <w:tblGrid>
        <w:gridCol w:w="9017"/>
      </w:tblGrid>
      <w:tr w:rsidR="00391DA0" w14:paraId="673018FD" w14:textId="77777777" w:rsidTr="00391DA0">
        <w:tc>
          <w:tcPr>
            <w:tcW w:w="9017" w:type="dxa"/>
          </w:tcPr>
          <w:p w14:paraId="72D4DBA0" w14:textId="77777777" w:rsidR="00391DA0" w:rsidRPr="00391DA0" w:rsidRDefault="00391DA0" w:rsidP="00391DA0">
            <w:pPr>
              <w:jc w:val="both"/>
            </w:pPr>
            <w:r w:rsidRPr="00391DA0">
              <w:rPr>
                <w:rFonts w:ascii="Times New Roman" w:eastAsia="MS Gothic" w:hAnsi="Times New Roman" w:cs="Times New Roman"/>
                <w:color w:val="000000"/>
                <w:kern w:val="24"/>
                <w:sz w:val="20"/>
                <w:szCs w:val="16"/>
                <w:highlight w:val="green"/>
                <w:lang w:val="en-GB"/>
              </w:rPr>
              <w:t>Agreement </w:t>
            </w:r>
          </w:p>
          <w:p w14:paraId="6AFA8C66" w14:textId="77777777" w:rsidR="00391DA0" w:rsidRPr="00391DA0" w:rsidRDefault="00391DA0" w:rsidP="00391DA0">
            <w:pPr>
              <w:jc w:val="both"/>
              <w:rPr>
                <w:sz w:val="20"/>
              </w:rPr>
            </w:pPr>
            <w:r w:rsidRPr="00391DA0">
              <w:rPr>
                <w:rFonts w:ascii="Times New Roman" w:eastAsia="SimSun" w:hAnsi="Times New Roman" w:cs="Times New Roman"/>
                <w:color w:val="000000"/>
                <w:kern w:val="24"/>
                <w:sz w:val="20"/>
                <w:szCs w:val="16"/>
                <w:lang w:val="en-GB"/>
              </w:rPr>
              <w:t>For L1 measurement report for Rel-18 L1/L2 mobility, if UE event triggered report for L1 measurement is supported based on further study</w:t>
            </w:r>
          </w:p>
          <w:p w14:paraId="28E907E3" w14:textId="77777777" w:rsidR="00391DA0" w:rsidRPr="00391DA0" w:rsidRDefault="00391DA0" w:rsidP="00442C0C">
            <w:pPr>
              <w:pStyle w:val="a4"/>
              <w:numPr>
                <w:ilvl w:val="0"/>
                <w:numId w:val="14"/>
              </w:numPr>
              <w:jc w:val="both"/>
              <w:rPr>
                <w:sz w:val="20"/>
              </w:rPr>
            </w:pPr>
            <w:r w:rsidRPr="00391DA0">
              <w:rPr>
                <w:rFonts w:ascii="Times New Roman" w:eastAsia="바탕" w:hAnsi="Times New Roman" w:cs="Times New Roman"/>
                <w:color w:val="000000"/>
                <w:kern w:val="24"/>
                <w:sz w:val="20"/>
                <w:szCs w:val="16"/>
                <w:lang w:val="en-GB"/>
              </w:rPr>
              <w:t xml:space="preserve">At least the following aspects may be considered </w:t>
            </w:r>
          </w:p>
          <w:p w14:paraId="0EE0596C"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How to define UE event and exact definition of events,</w:t>
            </w:r>
          </w:p>
          <w:p w14:paraId="4FD3426D"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Report container</w:t>
            </w:r>
          </w:p>
          <w:p w14:paraId="76A8204B"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 xml:space="preserve">Resource allocation/assignment for UE event triggered report </w:t>
            </w:r>
          </w:p>
          <w:p w14:paraId="2AEBCF24"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Necessity of indication to gNB when the condition UE event is met, and how</w:t>
            </w:r>
          </w:p>
          <w:p w14:paraId="33764F27"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 xml:space="preserve">Necessity to define the condition to start/stop the reporting, </w:t>
            </w:r>
          </w:p>
          <w:p w14:paraId="5CC7520C"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Contents of the report/reporting format, PCI, RS ID, measurement result etc.</w:t>
            </w:r>
          </w:p>
          <w:p w14:paraId="65A3901E"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 xml:space="preserve">The interaction with filtered L1 measurement results (if supported) </w:t>
            </w:r>
          </w:p>
          <w:p w14:paraId="4EDCAF1B"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Support of simultaneous configuration of both UE event triggered and any of periodic/semi-persistence/aperiodic reporting, and solutions when both of them are configured.</w:t>
            </w:r>
          </w:p>
          <w:p w14:paraId="03368158"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Report destination, whether the report is sent to serving cell only or can be sent to one or more candidate cell(s).</w:t>
            </w:r>
          </w:p>
          <w:p w14:paraId="30FCA419" w14:textId="1B0635E5" w:rsidR="00C509BE" w:rsidRPr="00C509BE"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Benefit when L3 measurement is involved</w:t>
            </w:r>
            <w:r w:rsidR="00C509BE" w:rsidRPr="00C509BE">
              <w:rPr>
                <w:rFonts w:ascii="Times New Roman" w:eastAsia="MS Gothic" w:hAnsi="Times New Roman" w:cs="Times New Roman"/>
                <w:color w:val="000000"/>
                <w:kern w:val="24"/>
                <w:sz w:val="20"/>
                <w:szCs w:val="16"/>
                <w:lang w:val="en-GB"/>
              </w:rPr>
              <w:t xml:space="preserve"> </w:t>
            </w:r>
          </w:p>
        </w:tc>
      </w:tr>
    </w:tbl>
    <w:p w14:paraId="13FE293E" w14:textId="468E9FD8" w:rsidR="004F658D" w:rsidRDefault="00C07FC7" w:rsidP="00391DA0">
      <w:pPr>
        <w:pStyle w:val="LGTdoc1"/>
        <w:snapToGrid/>
        <w:spacing w:beforeLines="0" w:before="100" w:beforeAutospacing="1" w:after="0" w:afterAutospacing="0" w:line="360" w:lineRule="auto"/>
        <w:contextualSpacing/>
        <w:rPr>
          <w:b w:val="0"/>
          <w:sz w:val="22"/>
          <w:lang w:val="en-US"/>
        </w:rPr>
      </w:pPr>
      <w:r>
        <w:rPr>
          <w:b w:val="0"/>
          <w:sz w:val="22"/>
        </w:rPr>
        <w:t xml:space="preserve">Regarding L1 reporting for inter-cell operation, event-based reporting analogous to L3 measurement and reporting procedure would be efficient since beam report for </w:t>
      </w:r>
      <w:r w:rsidR="00F6713A">
        <w:rPr>
          <w:b w:val="0"/>
          <w:sz w:val="22"/>
        </w:rPr>
        <w:t>candidate</w:t>
      </w:r>
      <w:r>
        <w:rPr>
          <w:b w:val="0"/>
          <w:sz w:val="22"/>
        </w:rPr>
        <w:t xml:space="preserve"> cell would not always needed.</w:t>
      </w:r>
      <w:r w:rsidR="00893708">
        <w:rPr>
          <w:b w:val="0"/>
          <w:sz w:val="22"/>
        </w:rPr>
        <w:t xml:space="preserve"> Moreover, </w:t>
      </w:r>
      <w:r w:rsidR="00375407">
        <w:rPr>
          <w:b w:val="0"/>
          <w:sz w:val="22"/>
        </w:rPr>
        <w:t xml:space="preserve">compared to the measurement reporting for RRM, </w:t>
      </w:r>
      <w:r w:rsidR="00893708">
        <w:rPr>
          <w:b w:val="0"/>
          <w:sz w:val="22"/>
        </w:rPr>
        <w:t>it can be beneficial in terms of signalling overhead/latency and UE power consumption by considering high mobility UE</w:t>
      </w:r>
      <w:r w:rsidR="00893708">
        <w:rPr>
          <w:rFonts w:hint="eastAsia"/>
          <w:b w:val="0"/>
          <w:sz w:val="22"/>
        </w:rPr>
        <w:t xml:space="preserve"> </w:t>
      </w:r>
      <w:r w:rsidR="00893708">
        <w:rPr>
          <w:b w:val="0"/>
          <w:sz w:val="22"/>
        </w:rPr>
        <w:t>in</w:t>
      </w:r>
      <w:r w:rsidR="00893708">
        <w:rPr>
          <w:rFonts w:hint="eastAsia"/>
          <w:b w:val="0"/>
          <w:sz w:val="22"/>
        </w:rPr>
        <w:t xml:space="preserve"> </w:t>
      </w:r>
      <w:r w:rsidR="00893708">
        <w:rPr>
          <w:b w:val="0"/>
          <w:sz w:val="22"/>
        </w:rPr>
        <w:t>a dense cell environment</w:t>
      </w:r>
      <w:r w:rsidR="00375407">
        <w:rPr>
          <w:b w:val="0"/>
          <w:sz w:val="22"/>
        </w:rPr>
        <w:t>.</w:t>
      </w:r>
      <w:r>
        <w:rPr>
          <w:b w:val="0"/>
          <w:sz w:val="22"/>
        </w:rPr>
        <w:t xml:space="preserve"> For this L1 </w:t>
      </w:r>
      <w:r w:rsidR="00B60123">
        <w:rPr>
          <w:b w:val="0"/>
          <w:sz w:val="22"/>
        </w:rPr>
        <w:t xml:space="preserve">event-based </w:t>
      </w:r>
      <w:r>
        <w:rPr>
          <w:b w:val="0"/>
          <w:sz w:val="22"/>
        </w:rPr>
        <w:t xml:space="preserve">reporting, </w:t>
      </w:r>
      <w:r w:rsidR="00B60123">
        <w:rPr>
          <w:b w:val="0"/>
          <w:sz w:val="22"/>
        </w:rPr>
        <w:t>measurement RS group for serving/candidate cell can be configured</w:t>
      </w:r>
      <w:r w:rsidR="00FA1578">
        <w:rPr>
          <w:b w:val="0"/>
          <w:sz w:val="22"/>
        </w:rPr>
        <w:t xml:space="preserve"> and </w:t>
      </w:r>
      <w:r>
        <w:rPr>
          <w:b w:val="0"/>
          <w:sz w:val="22"/>
        </w:rPr>
        <w:t xml:space="preserve">the defined triggering condition(s) based on the cell quality for measurement reporting can be replaced with the condition(s) based on L1 beam quality, e.g. for modified (beam quality based) Event A3 triggering in </w:t>
      </w:r>
      <w:r>
        <w:rPr>
          <w:b w:val="0"/>
          <w:i/>
          <w:sz w:val="22"/>
        </w:rPr>
        <w:t>ReportConfigNR</w:t>
      </w:r>
      <w:r w:rsidR="00FA1578">
        <w:rPr>
          <w:b w:val="0"/>
          <w:i/>
          <w:sz w:val="22"/>
        </w:rPr>
        <w:t xml:space="preserve"> </w:t>
      </w:r>
      <w:r w:rsidR="00FA1578">
        <w:rPr>
          <w:b w:val="0"/>
          <w:sz w:val="22"/>
        </w:rPr>
        <w:t>based on the corresponding RS groups for serving/candidate cell</w:t>
      </w:r>
      <w:r>
        <w:rPr>
          <w:b w:val="0"/>
          <w:sz w:val="22"/>
        </w:rPr>
        <w:t>. When the event is occurred</w:t>
      </w:r>
      <w:r w:rsidR="00FA1578">
        <w:rPr>
          <w:b w:val="0"/>
          <w:sz w:val="22"/>
        </w:rPr>
        <w:t xml:space="preserve"> such as the best quality of the measurement RS in the measurement RS group for the candidate cell is better than that of the measurement RS group for the serving cell</w:t>
      </w:r>
      <w:r>
        <w:rPr>
          <w:b w:val="0"/>
          <w:sz w:val="22"/>
        </w:rPr>
        <w:t xml:space="preserve">, serving cell beam report could be replaced by </w:t>
      </w:r>
      <w:r w:rsidR="00F6713A">
        <w:rPr>
          <w:b w:val="0"/>
          <w:sz w:val="22"/>
        </w:rPr>
        <w:t>candidate</w:t>
      </w:r>
      <w:r>
        <w:rPr>
          <w:b w:val="0"/>
          <w:sz w:val="22"/>
        </w:rPr>
        <w:t xml:space="preserve"> cell beam report or </w:t>
      </w:r>
      <w:r w:rsidR="00F6713A">
        <w:rPr>
          <w:b w:val="0"/>
          <w:sz w:val="22"/>
        </w:rPr>
        <w:t>candidate</w:t>
      </w:r>
      <w:r>
        <w:rPr>
          <w:b w:val="0"/>
          <w:sz w:val="22"/>
        </w:rPr>
        <w:t xml:space="preserve"> </w:t>
      </w:r>
      <w:r>
        <w:rPr>
          <w:b w:val="0"/>
          <w:sz w:val="22"/>
        </w:rPr>
        <w:lastRenderedPageBreak/>
        <w:t>cell beam report can be added into the serving cell report.</w:t>
      </w:r>
      <w:r w:rsidR="004F658D">
        <w:rPr>
          <w:b w:val="0"/>
          <w:sz w:val="22"/>
          <w:lang w:val="en-US"/>
        </w:rPr>
        <w:t xml:space="preserve"> </w:t>
      </w:r>
      <w:r w:rsidR="00375407">
        <w:rPr>
          <w:b w:val="0"/>
          <w:sz w:val="22"/>
          <w:lang w:val="en-US"/>
        </w:rPr>
        <w:t xml:space="preserve">To this end, PUCCH </w:t>
      </w:r>
      <w:r w:rsidR="00B01F9C">
        <w:rPr>
          <w:b w:val="0"/>
          <w:sz w:val="22"/>
          <w:lang w:val="en-US"/>
        </w:rPr>
        <w:t>and/</w:t>
      </w:r>
      <w:r w:rsidR="00375407">
        <w:rPr>
          <w:b w:val="0"/>
          <w:sz w:val="22"/>
          <w:lang w:val="en-US"/>
        </w:rPr>
        <w:t xml:space="preserve">or DG-/CG-PUSCH can be utilized as a report container. To be specific </w:t>
      </w:r>
      <w:r w:rsidR="00CE35E7">
        <w:rPr>
          <w:b w:val="0"/>
          <w:sz w:val="22"/>
          <w:lang w:val="en-US"/>
        </w:rPr>
        <w:t xml:space="preserve">on </w:t>
      </w:r>
      <w:r w:rsidR="00375407">
        <w:rPr>
          <w:b w:val="0"/>
          <w:sz w:val="22"/>
          <w:lang w:val="en-US"/>
        </w:rPr>
        <w:t>PUCCH, PUCCH format 0/1 with a small number of bits</w:t>
      </w:r>
      <w:r w:rsidR="00B469BD">
        <w:rPr>
          <w:b w:val="0"/>
          <w:sz w:val="22"/>
          <w:lang w:val="en-US"/>
        </w:rPr>
        <w:t xml:space="preserve"> </w:t>
      </w:r>
      <w:r w:rsidR="00B469BD">
        <w:rPr>
          <w:rFonts w:hint="eastAsia"/>
          <w:b w:val="0"/>
          <w:sz w:val="22"/>
          <w:lang w:val="en-US"/>
        </w:rPr>
        <w:t xml:space="preserve">can </w:t>
      </w:r>
      <w:r w:rsidR="00B469BD">
        <w:rPr>
          <w:b w:val="0"/>
          <w:sz w:val="22"/>
          <w:lang w:val="en-US"/>
        </w:rPr>
        <w:t>be used</w:t>
      </w:r>
      <w:r w:rsidR="00375407">
        <w:rPr>
          <w:b w:val="0"/>
          <w:sz w:val="22"/>
          <w:lang w:val="en-US"/>
        </w:rPr>
        <w:t xml:space="preserve"> </w:t>
      </w:r>
      <w:r w:rsidR="00CE35E7">
        <w:rPr>
          <w:b w:val="0"/>
          <w:sz w:val="22"/>
          <w:lang w:val="en-US"/>
        </w:rPr>
        <w:t>to indicate whether an event has occurred and the detailed information related to the event is sent by the subsequent PUSCH</w:t>
      </w:r>
      <w:r w:rsidR="00FA1578">
        <w:rPr>
          <w:b w:val="0"/>
          <w:sz w:val="22"/>
          <w:lang w:val="en-US"/>
        </w:rPr>
        <w:t>.</w:t>
      </w:r>
    </w:p>
    <w:p w14:paraId="15941340" w14:textId="77777777" w:rsidR="00C07FC7" w:rsidRDefault="00C07FC7" w:rsidP="00AE0062">
      <w:pPr>
        <w:pStyle w:val="LGTdoc1"/>
        <w:snapToGrid/>
        <w:spacing w:line="360" w:lineRule="auto"/>
        <w:contextualSpacing/>
        <w:rPr>
          <w:sz w:val="22"/>
        </w:rPr>
      </w:pPr>
    </w:p>
    <w:p w14:paraId="0C955702" w14:textId="5A8B48B7" w:rsidR="00F6713A" w:rsidRDefault="00043CB8" w:rsidP="00043CB8">
      <w:pPr>
        <w:pStyle w:val="LGTdoc1"/>
        <w:snapToGrid/>
        <w:spacing w:line="360" w:lineRule="auto"/>
        <w:contextualSpacing/>
        <w:rPr>
          <w:sz w:val="22"/>
        </w:rPr>
      </w:pPr>
      <w:r>
        <w:rPr>
          <w:sz w:val="22"/>
        </w:rPr>
        <w:t>Proposal</w:t>
      </w:r>
      <w:r w:rsidR="00C86836">
        <w:rPr>
          <w:sz w:val="22"/>
        </w:rPr>
        <w:t xml:space="preserve"> #</w:t>
      </w:r>
      <w:r w:rsidR="00886F44">
        <w:rPr>
          <w:sz w:val="22"/>
        </w:rPr>
        <w:t>4</w:t>
      </w:r>
      <w:r>
        <w:rPr>
          <w:sz w:val="22"/>
        </w:rPr>
        <w:t>: Consider</w:t>
      </w:r>
      <w:r w:rsidR="007C1EAE" w:rsidRPr="007C1EAE">
        <w:rPr>
          <w:sz w:val="22"/>
        </w:rPr>
        <w:t xml:space="preserve"> </w:t>
      </w:r>
      <w:r w:rsidR="00B01F9C">
        <w:rPr>
          <w:sz w:val="22"/>
        </w:rPr>
        <w:t xml:space="preserve">UE </w:t>
      </w:r>
      <w:r w:rsidR="007C1EAE">
        <w:rPr>
          <w:sz w:val="22"/>
        </w:rPr>
        <w:t>event-</w:t>
      </w:r>
      <w:r w:rsidR="00B01F9C">
        <w:rPr>
          <w:sz w:val="22"/>
        </w:rPr>
        <w:t xml:space="preserve">triggered </w:t>
      </w:r>
      <w:r>
        <w:rPr>
          <w:sz w:val="22"/>
        </w:rPr>
        <w:t xml:space="preserve">L1-based </w:t>
      </w:r>
      <w:r w:rsidR="00427B44">
        <w:rPr>
          <w:sz w:val="22"/>
        </w:rPr>
        <w:t xml:space="preserve">beam </w:t>
      </w:r>
      <w:r>
        <w:rPr>
          <w:sz w:val="22"/>
        </w:rPr>
        <w:t xml:space="preserve">reporting </w:t>
      </w:r>
      <w:r w:rsidR="00427B44">
        <w:rPr>
          <w:sz w:val="22"/>
        </w:rPr>
        <w:t xml:space="preserve">for </w:t>
      </w:r>
      <w:r w:rsidR="00F6713A">
        <w:rPr>
          <w:sz w:val="22"/>
        </w:rPr>
        <w:t>candidate</w:t>
      </w:r>
      <w:r w:rsidR="007C1EAE">
        <w:rPr>
          <w:sz w:val="22"/>
        </w:rPr>
        <w:t xml:space="preserve"> cells</w:t>
      </w:r>
      <w:r w:rsidR="0028268D">
        <w:rPr>
          <w:sz w:val="22"/>
        </w:rPr>
        <w:t xml:space="preserve"> </w:t>
      </w:r>
      <w:r w:rsidR="00F6713A">
        <w:rPr>
          <w:sz w:val="22"/>
        </w:rPr>
        <w:t>as follows</w:t>
      </w:r>
    </w:p>
    <w:p w14:paraId="08FA3111" w14:textId="19A16B25" w:rsidR="00FA1578" w:rsidRDefault="00FA1578" w:rsidP="00442C0C">
      <w:pPr>
        <w:pStyle w:val="LGTdoc1"/>
        <w:numPr>
          <w:ilvl w:val="0"/>
          <w:numId w:val="16"/>
        </w:numPr>
        <w:snapToGrid/>
        <w:spacing w:line="360" w:lineRule="auto"/>
        <w:contextualSpacing/>
        <w:rPr>
          <w:sz w:val="22"/>
        </w:rPr>
      </w:pPr>
      <w:r>
        <w:rPr>
          <w:rFonts w:hint="eastAsia"/>
          <w:sz w:val="22"/>
        </w:rPr>
        <w:t>Resource allocation</w:t>
      </w:r>
      <w:r w:rsidR="00B01F9C">
        <w:rPr>
          <w:sz w:val="22"/>
        </w:rPr>
        <w:t>/assignment</w:t>
      </w:r>
    </w:p>
    <w:p w14:paraId="4A6EDF8B" w14:textId="47A2F9A8" w:rsidR="00FA1578" w:rsidRPr="00B01F9C" w:rsidRDefault="00B01F9C" w:rsidP="00442C0C">
      <w:pPr>
        <w:pStyle w:val="LGTdoc1"/>
        <w:numPr>
          <w:ilvl w:val="1"/>
          <w:numId w:val="16"/>
        </w:numPr>
        <w:snapToGrid/>
        <w:spacing w:line="360" w:lineRule="auto"/>
        <w:contextualSpacing/>
        <w:rPr>
          <w:sz w:val="22"/>
        </w:rPr>
      </w:pPr>
      <w:r w:rsidRPr="00B01F9C">
        <w:rPr>
          <w:sz w:val="22"/>
        </w:rPr>
        <w:t>M</w:t>
      </w:r>
      <w:r w:rsidR="00FA1578" w:rsidRPr="00B01F9C">
        <w:rPr>
          <w:sz w:val="22"/>
        </w:rPr>
        <w:t>easurement RS group for serving/candidate cell can be</w:t>
      </w:r>
      <w:r w:rsidRPr="00B01F9C">
        <w:rPr>
          <w:sz w:val="22"/>
        </w:rPr>
        <w:t xml:space="preserve"> </w:t>
      </w:r>
      <w:r w:rsidR="00FA1578" w:rsidRPr="00B01F9C">
        <w:rPr>
          <w:sz w:val="22"/>
        </w:rPr>
        <w:t>configured</w:t>
      </w:r>
      <w:r w:rsidRPr="00B01F9C">
        <w:rPr>
          <w:sz w:val="22"/>
        </w:rPr>
        <w:t xml:space="preserve"> (including SSB and/or CSI-RS)</w:t>
      </w:r>
    </w:p>
    <w:p w14:paraId="6A7D5DB7" w14:textId="68D30B8E" w:rsidR="00F6713A" w:rsidRDefault="00CE35E7" w:rsidP="00442C0C">
      <w:pPr>
        <w:pStyle w:val="LGTdoc1"/>
        <w:numPr>
          <w:ilvl w:val="0"/>
          <w:numId w:val="16"/>
        </w:numPr>
        <w:snapToGrid/>
        <w:spacing w:line="360" w:lineRule="auto"/>
        <w:contextualSpacing/>
        <w:rPr>
          <w:sz w:val="22"/>
        </w:rPr>
      </w:pPr>
      <w:r>
        <w:rPr>
          <w:sz w:val="22"/>
        </w:rPr>
        <w:t>Definition of the event, e.g.,</w:t>
      </w:r>
    </w:p>
    <w:p w14:paraId="036F3E66" w14:textId="051450DE" w:rsidR="00CE35E7" w:rsidRDefault="00B01F9C" w:rsidP="00442C0C">
      <w:pPr>
        <w:pStyle w:val="LGTdoc1"/>
        <w:numPr>
          <w:ilvl w:val="1"/>
          <w:numId w:val="16"/>
        </w:numPr>
        <w:snapToGrid/>
        <w:spacing w:line="360" w:lineRule="auto"/>
        <w:contextualSpacing/>
        <w:rPr>
          <w:sz w:val="22"/>
        </w:rPr>
      </w:pPr>
      <w:r w:rsidRPr="00B01F9C">
        <w:rPr>
          <w:sz w:val="22"/>
        </w:rPr>
        <w:t xml:space="preserve">The best quality of the measurement RS in the measurement RS group for the candidate cell is better than that of the measurement RS group for the serving cell (via </w:t>
      </w:r>
      <w:r w:rsidRPr="00B01F9C">
        <w:rPr>
          <w:rFonts w:hint="eastAsia"/>
          <w:sz w:val="22"/>
        </w:rPr>
        <w:t>Modified Event A3 triggering</w:t>
      </w:r>
      <w:r w:rsidRPr="00B01F9C">
        <w:rPr>
          <w:sz w:val="22"/>
        </w:rPr>
        <w:t>)</w:t>
      </w:r>
    </w:p>
    <w:p w14:paraId="779AD057" w14:textId="2D411EA1" w:rsidR="00B01F9C" w:rsidRDefault="00B01F9C" w:rsidP="00442C0C">
      <w:pPr>
        <w:pStyle w:val="LGTdoc1"/>
        <w:numPr>
          <w:ilvl w:val="0"/>
          <w:numId w:val="16"/>
        </w:numPr>
        <w:snapToGrid/>
        <w:spacing w:line="360" w:lineRule="auto"/>
        <w:contextualSpacing/>
        <w:rPr>
          <w:sz w:val="22"/>
        </w:rPr>
      </w:pPr>
      <w:r>
        <w:rPr>
          <w:rFonts w:hint="eastAsia"/>
          <w:sz w:val="22"/>
        </w:rPr>
        <w:t>R</w:t>
      </w:r>
      <w:r>
        <w:rPr>
          <w:sz w:val="22"/>
        </w:rPr>
        <w:t>eport container and event indication (via PUCCH)</w:t>
      </w:r>
    </w:p>
    <w:p w14:paraId="39832963" w14:textId="776EFF21" w:rsidR="00B01F9C" w:rsidRPr="00B01F9C" w:rsidRDefault="00B01F9C" w:rsidP="00442C0C">
      <w:pPr>
        <w:pStyle w:val="LGTdoc1"/>
        <w:numPr>
          <w:ilvl w:val="1"/>
          <w:numId w:val="16"/>
        </w:numPr>
        <w:snapToGrid/>
        <w:spacing w:line="360" w:lineRule="auto"/>
        <w:contextualSpacing/>
        <w:rPr>
          <w:sz w:val="22"/>
        </w:rPr>
      </w:pPr>
      <w:r w:rsidRPr="00B01F9C">
        <w:rPr>
          <w:rFonts w:hint="eastAsia"/>
          <w:sz w:val="22"/>
        </w:rPr>
        <w:t>PUCCH and/or DG-/CG-PUSCH</w:t>
      </w:r>
      <w:r w:rsidRPr="00B01F9C">
        <w:rPr>
          <w:sz w:val="22"/>
        </w:rPr>
        <w:t>, e.g.</w:t>
      </w:r>
      <w:r>
        <w:rPr>
          <w:sz w:val="22"/>
        </w:rPr>
        <w:t>,</w:t>
      </w:r>
      <w:r w:rsidRPr="00B01F9C">
        <w:rPr>
          <w:sz w:val="22"/>
        </w:rPr>
        <w:t xml:space="preserve"> </w:t>
      </w:r>
      <w:r w:rsidRPr="00B01F9C">
        <w:rPr>
          <w:sz w:val="22"/>
          <w:lang w:val="en-US"/>
        </w:rPr>
        <w:t>us</w:t>
      </w:r>
      <w:r w:rsidR="00B469BD">
        <w:rPr>
          <w:sz w:val="22"/>
          <w:lang w:val="en-US"/>
        </w:rPr>
        <w:t>ing</w:t>
      </w:r>
      <w:r w:rsidRPr="00B01F9C">
        <w:rPr>
          <w:sz w:val="22"/>
          <w:lang w:val="en-US"/>
        </w:rPr>
        <w:t xml:space="preserve"> PUCCH format 0/1 with a small number of bits to indicate whether an event has occurred and the detailed information related to the event is sent by the subsequent PUSCH</w:t>
      </w:r>
    </w:p>
    <w:p w14:paraId="4B872FAB" w14:textId="77777777" w:rsidR="00043CB8" w:rsidRDefault="00043CB8" w:rsidP="00C07FC7">
      <w:pPr>
        <w:pStyle w:val="LGTdoc1"/>
        <w:snapToGrid/>
        <w:spacing w:line="360" w:lineRule="auto"/>
        <w:contextualSpacing/>
        <w:rPr>
          <w:sz w:val="22"/>
        </w:rPr>
      </w:pPr>
    </w:p>
    <w:p w14:paraId="7573CDFB" w14:textId="581C3163" w:rsidR="00C86836" w:rsidRDefault="00C86836" w:rsidP="00853EC9">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Along with the above, the necessity of filtering L1 measurement for mobility robus</w:t>
      </w:r>
      <w:r w:rsidR="00B85BD5">
        <w:rPr>
          <w:b w:val="0"/>
          <w:sz w:val="22"/>
          <w:lang w:val="en-US"/>
        </w:rPr>
        <w:t xml:space="preserve">tness, i.e., ping-pong issue was </w:t>
      </w:r>
      <w:r w:rsidR="00074424">
        <w:rPr>
          <w:b w:val="0"/>
          <w:sz w:val="22"/>
          <w:lang w:val="en-US"/>
        </w:rPr>
        <w:t xml:space="preserve">also </w:t>
      </w:r>
      <w:r w:rsidR="00B85BD5">
        <w:rPr>
          <w:b w:val="0"/>
          <w:sz w:val="22"/>
          <w:lang w:val="en-US"/>
        </w:rPr>
        <w:t>discussed</w:t>
      </w:r>
      <w:r w:rsidR="00391DA0">
        <w:rPr>
          <w:b w:val="0"/>
          <w:sz w:val="22"/>
          <w:lang w:val="en-US"/>
        </w:rPr>
        <w:t xml:space="preserve"> in the last meeting by considering the aspects on UE-based filtering to the L1 measurement results and applicability to L1-RSRP and so on</w:t>
      </w:r>
      <w:r w:rsidR="00853EC9">
        <w:rPr>
          <w:b w:val="0"/>
          <w:sz w:val="22"/>
          <w:lang w:val="en-US"/>
        </w:rPr>
        <w:t>. When the HO event trigger condition is replaced from the L3 to the L1 perspective based on L1 measurement reporting only,</w:t>
      </w:r>
      <w:r w:rsidR="00853EC9">
        <w:rPr>
          <w:rFonts w:hint="eastAsia"/>
          <w:b w:val="0"/>
          <w:sz w:val="22"/>
          <w:lang w:val="en-US"/>
        </w:rPr>
        <w:t xml:space="preserve"> </w:t>
      </w:r>
      <w:r w:rsidR="00853EC9">
        <w:rPr>
          <w:b w:val="0"/>
          <w:sz w:val="22"/>
          <w:lang w:val="en-US"/>
        </w:rPr>
        <w:t>the HO is performed more frequently due to the short term information on the beam quality value</w:t>
      </w:r>
      <w:r w:rsidR="00853EC9">
        <w:rPr>
          <w:rFonts w:hint="eastAsia"/>
          <w:b w:val="0"/>
          <w:sz w:val="22"/>
          <w:lang w:val="en-US"/>
        </w:rPr>
        <w:t>.</w:t>
      </w:r>
      <w:r w:rsidR="00022142">
        <w:rPr>
          <w:b w:val="0"/>
          <w:sz w:val="22"/>
          <w:lang w:val="en-US"/>
        </w:rPr>
        <w:t xml:space="preserve"> To handle this issue, </w:t>
      </w:r>
      <w:r w:rsidR="00465820">
        <w:rPr>
          <w:b w:val="0"/>
          <w:sz w:val="22"/>
          <w:lang w:val="en-US"/>
        </w:rPr>
        <w:t xml:space="preserve">it can be </w:t>
      </w:r>
      <w:r w:rsidR="00022142">
        <w:rPr>
          <w:b w:val="0"/>
          <w:sz w:val="22"/>
          <w:lang w:val="en-US"/>
        </w:rPr>
        <w:t>considered</w:t>
      </w:r>
      <w:r w:rsidR="00465820">
        <w:rPr>
          <w:b w:val="0"/>
          <w:sz w:val="22"/>
          <w:lang w:val="en-US"/>
        </w:rPr>
        <w:t xml:space="preserve"> </w:t>
      </w:r>
      <w:r w:rsidR="00FB496F">
        <w:rPr>
          <w:b w:val="0"/>
          <w:sz w:val="22"/>
          <w:lang w:val="en-US"/>
        </w:rPr>
        <w:t xml:space="preserve">to add/modify the threshold and offset </w:t>
      </w:r>
      <w:r w:rsidR="008D1F95">
        <w:rPr>
          <w:rFonts w:hint="eastAsia"/>
          <w:b w:val="0"/>
          <w:sz w:val="22"/>
          <w:lang w:val="en-US"/>
        </w:rPr>
        <w:t>for</w:t>
      </w:r>
      <w:r w:rsidR="00FB496F">
        <w:rPr>
          <w:b w:val="0"/>
          <w:sz w:val="22"/>
          <w:lang w:val="en-US"/>
        </w:rPr>
        <w:t xml:space="preserve"> the beam quality </w:t>
      </w:r>
      <w:r w:rsidR="008D1F95">
        <w:rPr>
          <w:b w:val="0"/>
          <w:sz w:val="22"/>
          <w:lang w:val="en-US"/>
        </w:rPr>
        <w:t xml:space="preserve">as event triggering conditions in </w:t>
      </w:r>
      <w:r w:rsidR="008D1F95">
        <w:rPr>
          <w:b w:val="0"/>
          <w:i/>
          <w:sz w:val="22"/>
        </w:rPr>
        <w:t>ReportConfigNR</w:t>
      </w:r>
      <w:r w:rsidR="008D1F95">
        <w:rPr>
          <w:b w:val="0"/>
          <w:sz w:val="22"/>
          <w:lang w:val="en-US"/>
        </w:rPr>
        <w:t xml:space="preserve"> </w:t>
      </w:r>
      <w:r w:rsidR="00FB496F">
        <w:rPr>
          <w:b w:val="0"/>
          <w:sz w:val="22"/>
          <w:lang w:val="en-US"/>
        </w:rPr>
        <w:t>since the threshold and offset is based only on the cell quality from the L3 perspective</w:t>
      </w:r>
      <w:r w:rsidR="00E820BF">
        <w:rPr>
          <w:b w:val="0"/>
          <w:sz w:val="22"/>
          <w:lang w:val="en-US"/>
        </w:rPr>
        <w:t xml:space="preserve"> in legacy</w:t>
      </w:r>
      <w:r w:rsidR="00FB496F">
        <w:rPr>
          <w:b w:val="0"/>
          <w:sz w:val="22"/>
          <w:lang w:val="en-US"/>
        </w:rPr>
        <w:t xml:space="preserve">. </w:t>
      </w:r>
      <w:r w:rsidR="00022142">
        <w:rPr>
          <w:b w:val="0"/>
          <w:sz w:val="22"/>
          <w:lang w:val="en-US"/>
        </w:rPr>
        <w:t xml:space="preserve">Also, it would be possible to check the event triggering condition according to a specific time period or a number of measurement samples. Regarding the specific time period, it can be based on ‘time to trigger’ operation in the existing HO operation where </w:t>
      </w:r>
      <w:r w:rsidR="00465820">
        <w:rPr>
          <w:b w:val="0"/>
          <w:sz w:val="22"/>
          <w:lang w:val="en-US"/>
        </w:rPr>
        <w:t>it checks whether the same triggering condition is satisfied in N times (i.e. reportAmount)</w:t>
      </w:r>
      <w:r w:rsidR="00B06844">
        <w:rPr>
          <w:b w:val="0"/>
          <w:sz w:val="22"/>
          <w:lang w:val="en-US"/>
        </w:rPr>
        <w:t xml:space="preserve"> consecutively in terms of beam quality value</w:t>
      </w:r>
      <w:r w:rsidR="00465820">
        <w:rPr>
          <w:b w:val="0"/>
          <w:sz w:val="22"/>
          <w:lang w:val="en-US"/>
        </w:rPr>
        <w:t xml:space="preserve"> at a specific duration interval (i.e. reportInterval) for measurement reporting.</w:t>
      </w:r>
    </w:p>
    <w:p w14:paraId="26C53257" w14:textId="77777777" w:rsidR="00C86836" w:rsidRDefault="00C86836" w:rsidP="00C07FC7">
      <w:pPr>
        <w:pStyle w:val="LGTdoc1"/>
        <w:snapToGrid/>
        <w:spacing w:line="360" w:lineRule="auto"/>
        <w:contextualSpacing/>
        <w:rPr>
          <w:sz w:val="22"/>
        </w:rPr>
      </w:pPr>
    </w:p>
    <w:p w14:paraId="67996EBE" w14:textId="2C717AFA" w:rsidR="00B85BD5" w:rsidRDefault="00B85BD5" w:rsidP="00B85BD5">
      <w:pPr>
        <w:pStyle w:val="LGTdoc1"/>
        <w:snapToGrid/>
        <w:spacing w:line="360" w:lineRule="auto"/>
        <w:contextualSpacing/>
        <w:rPr>
          <w:sz w:val="22"/>
        </w:rPr>
      </w:pPr>
      <w:r>
        <w:rPr>
          <w:sz w:val="22"/>
        </w:rPr>
        <w:t>Proposal #</w:t>
      </w:r>
      <w:r w:rsidR="00886F44">
        <w:rPr>
          <w:sz w:val="22"/>
        </w:rPr>
        <w:t>5</w:t>
      </w:r>
      <w:r>
        <w:rPr>
          <w:sz w:val="22"/>
        </w:rPr>
        <w:t>: Consider</w:t>
      </w:r>
      <w:r w:rsidRPr="007C1EAE">
        <w:rPr>
          <w:sz w:val="22"/>
        </w:rPr>
        <w:t xml:space="preserve"> </w:t>
      </w:r>
      <w:r w:rsidR="00853EC9">
        <w:rPr>
          <w:sz w:val="22"/>
        </w:rPr>
        <w:t>filtering L1 measurement re</w:t>
      </w:r>
      <w:r w:rsidR="00B06844">
        <w:rPr>
          <w:sz w:val="22"/>
        </w:rPr>
        <w:t>sults</w:t>
      </w:r>
      <w:r w:rsidR="00853EC9">
        <w:rPr>
          <w:sz w:val="22"/>
        </w:rPr>
        <w:t xml:space="preserve"> to mitigate ‘ping-pong’ issue </w:t>
      </w:r>
      <w:r w:rsidR="00751664">
        <w:rPr>
          <w:sz w:val="22"/>
        </w:rPr>
        <w:t>by taking into account</w:t>
      </w:r>
      <w:r w:rsidR="00B06844">
        <w:rPr>
          <w:sz w:val="22"/>
        </w:rPr>
        <w:t xml:space="preserve"> the followings</w:t>
      </w:r>
      <w:r>
        <w:rPr>
          <w:sz w:val="22"/>
        </w:rPr>
        <w:t>.</w:t>
      </w:r>
    </w:p>
    <w:p w14:paraId="6534C37F" w14:textId="659558E7" w:rsidR="00B06844" w:rsidRDefault="00B06844" w:rsidP="00442C0C">
      <w:pPr>
        <w:pStyle w:val="LGTdoc1"/>
        <w:numPr>
          <w:ilvl w:val="1"/>
          <w:numId w:val="12"/>
        </w:numPr>
        <w:snapToGrid/>
        <w:spacing w:line="360" w:lineRule="auto"/>
        <w:contextualSpacing/>
        <w:rPr>
          <w:sz w:val="22"/>
        </w:rPr>
      </w:pPr>
      <w:r>
        <w:rPr>
          <w:sz w:val="22"/>
        </w:rPr>
        <w:t xml:space="preserve">Add or modify event triggering condition in </w:t>
      </w:r>
      <w:r w:rsidRPr="00B06844">
        <w:rPr>
          <w:i/>
          <w:sz w:val="22"/>
        </w:rPr>
        <w:t>ReportConfigNR</w:t>
      </w:r>
      <w:r>
        <w:rPr>
          <w:sz w:val="22"/>
        </w:rPr>
        <w:t xml:space="preserve"> with L1-based threshold/offset</w:t>
      </w:r>
    </w:p>
    <w:p w14:paraId="2D808124" w14:textId="26969BAC" w:rsidR="00B06844" w:rsidRPr="00C07FC7" w:rsidRDefault="00B06844" w:rsidP="00442C0C">
      <w:pPr>
        <w:pStyle w:val="LGTdoc1"/>
        <w:numPr>
          <w:ilvl w:val="1"/>
          <w:numId w:val="12"/>
        </w:numPr>
        <w:snapToGrid/>
        <w:spacing w:line="360" w:lineRule="auto"/>
        <w:contextualSpacing/>
        <w:rPr>
          <w:sz w:val="22"/>
        </w:rPr>
      </w:pPr>
      <w:r>
        <w:rPr>
          <w:sz w:val="22"/>
        </w:rPr>
        <w:lastRenderedPageBreak/>
        <w:t>Check event triggering condition in terms of beam quality based on ‘time to trigger’ operation</w:t>
      </w:r>
    </w:p>
    <w:p w14:paraId="277250FB" w14:textId="77777777" w:rsidR="00B85BD5" w:rsidRDefault="00B85BD5" w:rsidP="00C07FC7">
      <w:pPr>
        <w:pStyle w:val="LGTdoc1"/>
        <w:snapToGrid/>
        <w:spacing w:line="360" w:lineRule="auto"/>
        <w:contextualSpacing/>
        <w:rPr>
          <w:sz w:val="22"/>
        </w:rPr>
      </w:pPr>
    </w:p>
    <w:p w14:paraId="451F790D" w14:textId="08A202D9" w:rsidR="00167213" w:rsidRPr="00475EA3" w:rsidRDefault="00FE3657" w:rsidP="00021743">
      <w:pPr>
        <w:pStyle w:val="1"/>
        <w:pBdr>
          <w:top w:val="single" w:sz="12" w:space="1" w:color="auto"/>
        </w:pBdr>
        <w:spacing w:before="360" w:line="360" w:lineRule="auto"/>
        <w:ind w:left="431" w:hanging="431"/>
        <w:rPr>
          <w:rFonts w:ascii="Times New Roman" w:hAnsi="Times New Roman" w:cs="Times New Roman"/>
          <w:color w:val="auto"/>
          <w:sz w:val="32"/>
          <w:lang w:val="en-US" w:eastAsia="ko-KR"/>
        </w:rPr>
      </w:pPr>
      <w:r w:rsidRPr="00475EA3">
        <w:rPr>
          <w:rFonts w:ascii="Times New Roman" w:hAnsi="Times New Roman" w:cs="Times New Roman"/>
          <w:color w:val="auto"/>
          <w:sz w:val="32"/>
          <w:lang w:val="en-US" w:eastAsia="ko-KR"/>
        </w:rPr>
        <w:t>Conclusion</w:t>
      </w:r>
    </w:p>
    <w:p w14:paraId="2374FC14" w14:textId="2F40D577" w:rsidR="00475EA3" w:rsidRDefault="00475EA3"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b w:val="0"/>
          <w:sz w:val="22"/>
          <w:lang w:val="en-US"/>
        </w:rPr>
        <w:t xml:space="preserve">In this contribution, we have discussed the potential enhancements on </w:t>
      </w:r>
      <w:r w:rsidR="00AE0062">
        <w:rPr>
          <w:b w:val="0"/>
          <w:sz w:val="22"/>
          <w:lang w:val="en-US"/>
        </w:rPr>
        <w:t>inter-cell beam management for mobility based on L1/L2 measurement/reporting</w:t>
      </w:r>
      <w:r w:rsidRPr="00475EA3">
        <w:rPr>
          <w:b w:val="0"/>
          <w:sz w:val="22"/>
          <w:lang w:val="en-US"/>
        </w:rPr>
        <w:t xml:space="preserve">. Based on the discussions above, following proposal </w:t>
      </w:r>
      <w:r w:rsidR="00AE4249">
        <w:rPr>
          <w:b w:val="0"/>
          <w:sz w:val="22"/>
          <w:lang w:val="en-US"/>
        </w:rPr>
        <w:t>is</w:t>
      </w:r>
      <w:r w:rsidRPr="00475EA3">
        <w:rPr>
          <w:b w:val="0"/>
          <w:sz w:val="22"/>
          <w:lang w:val="en-US"/>
        </w:rPr>
        <w:t xml:space="preserve"> given as:</w:t>
      </w:r>
    </w:p>
    <w:p w14:paraId="6C429675" w14:textId="77777777" w:rsidR="00886F44" w:rsidRDefault="00886F44" w:rsidP="00886F44">
      <w:pPr>
        <w:pStyle w:val="LGTdoc1"/>
        <w:snapToGrid/>
        <w:spacing w:beforeLines="0" w:before="100" w:beforeAutospacing="1" w:line="360" w:lineRule="auto"/>
        <w:contextualSpacing/>
        <w:rPr>
          <w:sz w:val="22"/>
        </w:rPr>
      </w:pPr>
      <w:r>
        <w:rPr>
          <w:sz w:val="22"/>
        </w:rPr>
        <w:t>Proposal #1. Support configuring CSI-RS associated with serving cells and candidate cells for both L1 intra- and inter- frequency measurement</w:t>
      </w:r>
    </w:p>
    <w:p w14:paraId="5192EF7A" w14:textId="77777777" w:rsidR="00886F44" w:rsidRPr="004F44A5" w:rsidRDefault="00886F44" w:rsidP="00886F44">
      <w:pPr>
        <w:pStyle w:val="LGTdoc1"/>
        <w:numPr>
          <w:ilvl w:val="0"/>
          <w:numId w:val="16"/>
        </w:numPr>
        <w:snapToGrid/>
        <w:spacing w:line="360" w:lineRule="auto"/>
        <w:contextualSpacing/>
        <w:rPr>
          <w:sz w:val="22"/>
        </w:rPr>
      </w:pPr>
      <w:r>
        <w:rPr>
          <w:sz w:val="22"/>
        </w:rPr>
        <w:t>At least for mobility CSI-RS as a reference RS in QCL information for LTM.</w:t>
      </w:r>
    </w:p>
    <w:p w14:paraId="0799FA85" w14:textId="77777777" w:rsidR="00EC0323" w:rsidRDefault="00EC0323" w:rsidP="00EC0323">
      <w:pPr>
        <w:pStyle w:val="LGTdoc1"/>
        <w:snapToGrid/>
        <w:spacing w:line="360" w:lineRule="auto"/>
        <w:contextualSpacing/>
        <w:rPr>
          <w:sz w:val="22"/>
        </w:rPr>
      </w:pPr>
      <w:r>
        <w:rPr>
          <w:sz w:val="22"/>
        </w:rPr>
        <w:t>Proposal #2: Consider at least gNB scheduled measurement reporting via MAC-CE.</w:t>
      </w:r>
    </w:p>
    <w:p w14:paraId="392C8733" w14:textId="77777777" w:rsidR="00EC0323" w:rsidRDefault="00EC0323" w:rsidP="00EC0323">
      <w:pPr>
        <w:pStyle w:val="LGTdoc1"/>
        <w:snapToGrid/>
        <w:spacing w:beforeLines="0" w:before="100" w:beforeAutospacing="1" w:after="0" w:afterAutospacing="0" w:line="360" w:lineRule="auto"/>
        <w:contextualSpacing/>
        <w:rPr>
          <w:sz w:val="22"/>
        </w:rPr>
      </w:pPr>
      <w:r>
        <w:rPr>
          <w:sz w:val="22"/>
        </w:rPr>
        <w:t>Proposal #3: Support to reuse the reporting format and quantization in Rel-17 ICBM for Rel-18 LTM</w:t>
      </w:r>
    </w:p>
    <w:p w14:paraId="7C4B82EB" w14:textId="77777777" w:rsidR="00EC0323" w:rsidRDefault="00EC0323" w:rsidP="00EC0323">
      <w:pPr>
        <w:pStyle w:val="LGTdoc1"/>
        <w:numPr>
          <w:ilvl w:val="0"/>
          <w:numId w:val="16"/>
        </w:numPr>
        <w:snapToGrid/>
        <w:spacing w:line="360" w:lineRule="auto"/>
        <w:contextualSpacing/>
        <w:rPr>
          <w:sz w:val="22"/>
        </w:rPr>
      </w:pPr>
      <w:r>
        <w:rPr>
          <w:sz w:val="22"/>
        </w:rPr>
        <w:t xml:space="preserve">Consider the larger value </w:t>
      </w:r>
      <w:r>
        <w:rPr>
          <w:rFonts w:hint="eastAsia"/>
          <w:sz w:val="22"/>
        </w:rPr>
        <w:t xml:space="preserve">for </w:t>
      </w:r>
      <w:r>
        <w:rPr>
          <w:sz w:val="22"/>
        </w:rPr>
        <w:t>the max number of reported measurements than legacy value, i.e., 4, for inter-frequency measurement</w:t>
      </w:r>
    </w:p>
    <w:p w14:paraId="77EA77F0" w14:textId="77777777" w:rsidR="00EC0323" w:rsidRDefault="00EC0323" w:rsidP="00EC0323">
      <w:pPr>
        <w:pStyle w:val="LGTdoc1"/>
        <w:numPr>
          <w:ilvl w:val="1"/>
          <w:numId w:val="16"/>
        </w:numPr>
        <w:snapToGrid/>
        <w:spacing w:line="360" w:lineRule="auto"/>
        <w:contextualSpacing/>
        <w:rPr>
          <w:sz w:val="22"/>
        </w:rPr>
      </w:pPr>
      <w:r>
        <w:rPr>
          <w:sz w:val="22"/>
        </w:rPr>
        <w:t>Not consider that a UE is allowed to report less than M x L beams</w:t>
      </w:r>
    </w:p>
    <w:p w14:paraId="79083B14" w14:textId="77777777" w:rsidR="00EC0323" w:rsidRPr="00886F44" w:rsidRDefault="00EC0323" w:rsidP="00EC0323">
      <w:pPr>
        <w:pStyle w:val="LGTdoc1"/>
        <w:numPr>
          <w:ilvl w:val="0"/>
          <w:numId w:val="16"/>
        </w:numPr>
        <w:snapToGrid/>
        <w:spacing w:line="360" w:lineRule="auto"/>
        <w:contextualSpacing/>
        <w:rPr>
          <w:sz w:val="22"/>
        </w:rPr>
      </w:pPr>
      <w:r>
        <w:rPr>
          <w:rFonts w:hint="eastAsia"/>
          <w:sz w:val="22"/>
        </w:rPr>
        <w:t xml:space="preserve">Not consider the configurability </w:t>
      </w:r>
      <w:r>
        <w:rPr>
          <w:sz w:val="22"/>
        </w:rPr>
        <w:t>on the serving cell and/or inter-frequency cell for</w:t>
      </w:r>
      <w:r>
        <w:rPr>
          <w:rFonts w:hint="eastAsia"/>
          <w:sz w:val="22"/>
        </w:rPr>
        <w:t xml:space="preserve"> L cell</w:t>
      </w:r>
      <w:r>
        <w:rPr>
          <w:sz w:val="22"/>
        </w:rPr>
        <w:t xml:space="preserve"> selection</w:t>
      </w:r>
    </w:p>
    <w:p w14:paraId="46202DD7" w14:textId="1887A223" w:rsidR="00442C0C" w:rsidRDefault="00442C0C" w:rsidP="00442C0C">
      <w:pPr>
        <w:pStyle w:val="LGTdoc1"/>
        <w:snapToGrid/>
        <w:spacing w:line="360" w:lineRule="auto"/>
        <w:contextualSpacing/>
        <w:rPr>
          <w:sz w:val="22"/>
        </w:rPr>
      </w:pPr>
      <w:bookmarkStart w:id="0" w:name="_GoBack"/>
      <w:bookmarkEnd w:id="0"/>
      <w:r>
        <w:rPr>
          <w:sz w:val="22"/>
        </w:rPr>
        <w:t>Proposal #</w:t>
      </w:r>
      <w:r w:rsidR="00886F44">
        <w:rPr>
          <w:sz w:val="22"/>
        </w:rPr>
        <w:t>4</w:t>
      </w:r>
      <w:r>
        <w:rPr>
          <w:sz w:val="22"/>
        </w:rPr>
        <w:t>: Consider</w:t>
      </w:r>
      <w:r w:rsidRPr="007C1EAE">
        <w:rPr>
          <w:sz w:val="22"/>
        </w:rPr>
        <w:t xml:space="preserve"> </w:t>
      </w:r>
      <w:r>
        <w:rPr>
          <w:sz w:val="22"/>
        </w:rPr>
        <w:t>UE event-triggered L1-based beam reporting for candidate cells as follows</w:t>
      </w:r>
    </w:p>
    <w:p w14:paraId="5B8B78F4" w14:textId="77777777" w:rsidR="00442C0C" w:rsidRDefault="00442C0C" w:rsidP="00442C0C">
      <w:pPr>
        <w:pStyle w:val="LGTdoc1"/>
        <w:numPr>
          <w:ilvl w:val="0"/>
          <w:numId w:val="16"/>
        </w:numPr>
        <w:snapToGrid/>
        <w:spacing w:line="360" w:lineRule="auto"/>
        <w:contextualSpacing/>
        <w:rPr>
          <w:sz w:val="22"/>
        </w:rPr>
      </w:pPr>
      <w:r>
        <w:rPr>
          <w:rFonts w:hint="eastAsia"/>
          <w:sz w:val="22"/>
        </w:rPr>
        <w:t>Resource allocation</w:t>
      </w:r>
      <w:r>
        <w:rPr>
          <w:sz w:val="22"/>
        </w:rPr>
        <w:t>/assignment</w:t>
      </w:r>
    </w:p>
    <w:p w14:paraId="10AC1F68" w14:textId="77777777" w:rsidR="00442C0C" w:rsidRPr="00B01F9C" w:rsidRDefault="00442C0C" w:rsidP="00442C0C">
      <w:pPr>
        <w:pStyle w:val="LGTdoc1"/>
        <w:numPr>
          <w:ilvl w:val="1"/>
          <w:numId w:val="16"/>
        </w:numPr>
        <w:snapToGrid/>
        <w:spacing w:line="360" w:lineRule="auto"/>
        <w:contextualSpacing/>
        <w:rPr>
          <w:sz w:val="22"/>
        </w:rPr>
      </w:pPr>
      <w:r w:rsidRPr="00B01F9C">
        <w:rPr>
          <w:sz w:val="22"/>
        </w:rPr>
        <w:t>Measurement RS group for serving/candidate cell can be configured (including SSB and/or CSI-RS)</w:t>
      </w:r>
    </w:p>
    <w:p w14:paraId="363D8870" w14:textId="77777777" w:rsidR="00442C0C" w:rsidRDefault="00442C0C" w:rsidP="00442C0C">
      <w:pPr>
        <w:pStyle w:val="LGTdoc1"/>
        <w:numPr>
          <w:ilvl w:val="0"/>
          <w:numId w:val="16"/>
        </w:numPr>
        <w:snapToGrid/>
        <w:spacing w:line="360" w:lineRule="auto"/>
        <w:contextualSpacing/>
        <w:rPr>
          <w:sz w:val="22"/>
        </w:rPr>
      </w:pPr>
      <w:r>
        <w:rPr>
          <w:sz w:val="22"/>
        </w:rPr>
        <w:t>Definition of the event, e.g.,</w:t>
      </w:r>
    </w:p>
    <w:p w14:paraId="71A7F83E" w14:textId="77777777" w:rsidR="00442C0C" w:rsidRDefault="00442C0C" w:rsidP="00442C0C">
      <w:pPr>
        <w:pStyle w:val="LGTdoc1"/>
        <w:numPr>
          <w:ilvl w:val="1"/>
          <w:numId w:val="16"/>
        </w:numPr>
        <w:snapToGrid/>
        <w:spacing w:line="360" w:lineRule="auto"/>
        <w:contextualSpacing/>
        <w:rPr>
          <w:sz w:val="22"/>
        </w:rPr>
      </w:pPr>
      <w:r w:rsidRPr="00B01F9C">
        <w:rPr>
          <w:sz w:val="22"/>
        </w:rPr>
        <w:t xml:space="preserve">The best quality of the measurement RS in the measurement RS group for the candidate cell is better than that of the measurement RS group for the serving cell (via </w:t>
      </w:r>
      <w:r w:rsidRPr="00B01F9C">
        <w:rPr>
          <w:rFonts w:hint="eastAsia"/>
          <w:sz w:val="22"/>
        </w:rPr>
        <w:t>Modified Event A3 triggering</w:t>
      </w:r>
      <w:r w:rsidRPr="00B01F9C">
        <w:rPr>
          <w:sz w:val="22"/>
        </w:rPr>
        <w:t>)</w:t>
      </w:r>
    </w:p>
    <w:p w14:paraId="53EB4E45" w14:textId="77777777" w:rsidR="00442C0C" w:rsidRDefault="00442C0C" w:rsidP="00442C0C">
      <w:pPr>
        <w:pStyle w:val="LGTdoc1"/>
        <w:numPr>
          <w:ilvl w:val="0"/>
          <w:numId w:val="16"/>
        </w:numPr>
        <w:snapToGrid/>
        <w:spacing w:line="360" w:lineRule="auto"/>
        <w:contextualSpacing/>
        <w:rPr>
          <w:sz w:val="22"/>
        </w:rPr>
      </w:pPr>
      <w:r>
        <w:rPr>
          <w:rFonts w:hint="eastAsia"/>
          <w:sz w:val="22"/>
        </w:rPr>
        <w:t>R</w:t>
      </w:r>
      <w:r>
        <w:rPr>
          <w:sz w:val="22"/>
        </w:rPr>
        <w:t>eport container and event indication (via PUCCH)</w:t>
      </w:r>
    </w:p>
    <w:p w14:paraId="05268EB4" w14:textId="77777777" w:rsidR="00442C0C" w:rsidRPr="00B01F9C" w:rsidRDefault="00442C0C" w:rsidP="00442C0C">
      <w:pPr>
        <w:pStyle w:val="LGTdoc1"/>
        <w:numPr>
          <w:ilvl w:val="1"/>
          <w:numId w:val="16"/>
        </w:numPr>
        <w:snapToGrid/>
        <w:spacing w:line="360" w:lineRule="auto"/>
        <w:contextualSpacing/>
        <w:rPr>
          <w:sz w:val="22"/>
        </w:rPr>
      </w:pPr>
      <w:r w:rsidRPr="00B01F9C">
        <w:rPr>
          <w:rFonts w:hint="eastAsia"/>
          <w:sz w:val="22"/>
        </w:rPr>
        <w:t>PUCCH and/or DG-/CG-PUSCH</w:t>
      </w:r>
      <w:r w:rsidRPr="00B01F9C">
        <w:rPr>
          <w:sz w:val="22"/>
        </w:rPr>
        <w:t>, e.g.</w:t>
      </w:r>
      <w:r>
        <w:rPr>
          <w:sz w:val="22"/>
        </w:rPr>
        <w:t>,</w:t>
      </w:r>
      <w:r w:rsidRPr="00B01F9C">
        <w:rPr>
          <w:sz w:val="22"/>
        </w:rPr>
        <w:t xml:space="preserve"> </w:t>
      </w:r>
      <w:r w:rsidRPr="00B01F9C">
        <w:rPr>
          <w:sz w:val="22"/>
          <w:lang w:val="en-US"/>
        </w:rPr>
        <w:t>us</w:t>
      </w:r>
      <w:r>
        <w:rPr>
          <w:sz w:val="22"/>
          <w:lang w:val="en-US"/>
        </w:rPr>
        <w:t>ing</w:t>
      </w:r>
      <w:r w:rsidRPr="00B01F9C">
        <w:rPr>
          <w:sz w:val="22"/>
          <w:lang w:val="en-US"/>
        </w:rPr>
        <w:t xml:space="preserve"> PUCCH format 0/1 with a small number of bits to indicate whether an event has occurred and the detailed information related to the event is sent by the subsequent PUSCH</w:t>
      </w:r>
    </w:p>
    <w:p w14:paraId="712BA4D5" w14:textId="60942354" w:rsidR="00442C0C" w:rsidRDefault="00442C0C" w:rsidP="00442C0C">
      <w:pPr>
        <w:pStyle w:val="LGTdoc1"/>
        <w:snapToGrid/>
        <w:spacing w:line="360" w:lineRule="auto"/>
        <w:contextualSpacing/>
        <w:rPr>
          <w:sz w:val="22"/>
        </w:rPr>
      </w:pPr>
      <w:r>
        <w:rPr>
          <w:sz w:val="22"/>
        </w:rPr>
        <w:t>Proposal #</w:t>
      </w:r>
      <w:r w:rsidR="00886F44">
        <w:rPr>
          <w:sz w:val="22"/>
        </w:rPr>
        <w:t>5</w:t>
      </w:r>
      <w:r>
        <w:rPr>
          <w:sz w:val="22"/>
        </w:rPr>
        <w:t>: Consider</w:t>
      </w:r>
      <w:r w:rsidRPr="007C1EAE">
        <w:rPr>
          <w:sz w:val="22"/>
        </w:rPr>
        <w:t xml:space="preserve"> </w:t>
      </w:r>
      <w:r>
        <w:rPr>
          <w:sz w:val="22"/>
        </w:rPr>
        <w:t>filtering L1 measurement results to mitigate ‘ping-pong’ issue by taking into account the followings.</w:t>
      </w:r>
    </w:p>
    <w:p w14:paraId="325F807B" w14:textId="77777777" w:rsidR="00442C0C" w:rsidRDefault="00442C0C" w:rsidP="00442C0C">
      <w:pPr>
        <w:pStyle w:val="LGTdoc1"/>
        <w:numPr>
          <w:ilvl w:val="1"/>
          <w:numId w:val="12"/>
        </w:numPr>
        <w:snapToGrid/>
        <w:spacing w:line="360" w:lineRule="auto"/>
        <w:contextualSpacing/>
        <w:rPr>
          <w:sz w:val="22"/>
        </w:rPr>
      </w:pPr>
      <w:r>
        <w:rPr>
          <w:sz w:val="22"/>
        </w:rPr>
        <w:t xml:space="preserve">Add or modify event triggering condition in </w:t>
      </w:r>
      <w:r w:rsidRPr="00B06844">
        <w:rPr>
          <w:i/>
          <w:sz w:val="22"/>
        </w:rPr>
        <w:t>ReportConfigNR</w:t>
      </w:r>
      <w:r>
        <w:rPr>
          <w:sz w:val="22"/>
        </w:rPr>
        <w:t xml:space="preserve"> with L1-based threshold/offset</w:t>
      </w:r>
    </w:p>
    <w:p w14:paraId="14D0C754" w14:textId="77777777" w:rsidR="00442C0C" w:rsidRPr="00C07FC7" w:rsidRDefault="00442C0C" w:rsidP="00442C0C">
      <w:pPr>
        <w:pStyle w:val="LGTdoc1"/>
        <w:numPr>
          <w:ilvl w:val="1"/>
          <w:numId w:val="12"/>
        </w:numPr>
        <w:snapToGrid/>
        <w:spacing w:line="360" w:lineRule="auto"/>
        <w:contextualSpacing/>
        <w:rPr>
          <w:sz w:val="22"/>
        </w:rPr>
      </w:pPr>
      <w:r>
        <w:rPr>
          <w:sz w:val="22"/>
        </w:rPr>
        <w:lastRenderedPageBreak/>
        <w:t>Check event triggering condition in terms of beam quality based on ‘time to trigger’ operation</w:t>
      </w:r>
    </w:p>
    <w:p w14:paraId="5FE90968" w14:textId="77777777" w:rsidR="00475EA3" w:rsidRPr="00475EA3" w:rsidRDefault="00475EA3" w:rsidP="00F33977">
      <w:pPr>
        <w:keepNext/>
        <w:widowControl w:val="0"/>
        <w:numPr>
          <w:ilvl w:val="0"/>
          <w:numId w:val="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507D3042" w14:textId="188A14FF" w:rsidR="004D2D51" w:rsidRDefault="00475EA3"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 xml:space="preserve">[1] </w:t>
      </w:r>
      <w:r w:rsidRPr="00475EA3">
        <w:rPr>
          <w:rFonts w:ascii="Times New Roman" w:eastAsia="바탕" w:hAnsi="Times New Roman" w:cs="Times New Roman"/>
          <w:snapToGrid w:val="0"/>
          <w:sz w:val="20"/>
          <w:szCs w:val="20"/>
        </w:rPr>
        <w:t>RP-</w:t>
      </w:r>
      <w:r w:rsidR="009D3CFE">
        <w:rPr>
          <w:rFonts w:ascii="Times New Roman" w:eastAsia="바탕" w:hAnsi="Times New Roman" w:cs="Times New Roman"/>
          <w:snapToGrid w:val="0"/>
          <w:sz w:val="20"/>
          <w:szCs w:val="20"/>
        </w:rPr>
        <w:t>213</w:t>
      </w:r>
      <w:r w:rsidR="00265A2E">
        <w:rPr>
          <w:rFonts w:ascii="Times New Roman" w:eastAsia="바탕" w:hAnsi="Times New Roman" w:cs="Times New Roman"/>
          <w:snapToGrid w:val="0"/>
          <w:sz w:val="20"/>
          <w:szCs w:val="20"/>
        </w:rPr>
        <w:t>565</w:t>
      </w:r>
      <w:r w:rsidRPr="00475EA3">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New WID</w:t>
      </w:r>
      <w:r w:rsidR="00265A2E">
        <w:rPr>
          <w:rFonts w:ascii="Times New Roman" w:eastAsia="바탕" w:hAnsi="Times New Roman" w:cs="Times New Roman"/>
          <w:snapToGrid w:val="0"/>
          <w:sz w:val="20"/>
          <w:szCs w:val="20"/>
        </w:rPr>
        <w:t xml:space="preserve"> on Further NR mobility enhancements</w:t>
      </w:r>
      <w:r w:rsidR="00265A2E">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ab/>
      </w:r>
      <w:r w:rsidR="00D9422C">
        <w:rPr>
          <w:rFonts w:ascii="Times New Roman" w:eastAsia="바탕" w:hAnsi="Times New Roman" w:cs="Times New Roman"/>
          <w:snapToGrid w:val="0"/>
          <w:sz w:val="20"/>
          <w:szCs w:val="20"/>
        </w:rPr>
        <w:tab/>
      </w:r>
      <w:r w:rsidR="00265A2E">
        <w:rPr>
          <w:rFonts w:ascii="Times New Roman" w:eastAsia="바탕" w:hAnsi="Times New Roman" w:cs="Times New Roman"/>
          <w:snapToGrid w:val="0"/>
          <w:sz w:val="20"/>
          <w:szCs w:val="20"/>
        </w:rPr>
        <w:t>MediaTek</w:t>
      </w:r>
    </w:p>
    <w:p w14:paraId="09247BD3" w14:textId="57E0AA19" w:rsidR="00D9422C" w:rsidRPr="00C5471D" w:rsidRDefault="00D9422C"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p>
    <w:sectPr w:rsidR="00D9422C" w:rsidRPr="00C5471D"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449F8" w14:textId="77777777" w:rsidR="00781E6F" w:rsidRDefault="00781E6F" w:rsidP="00C01439">
      <w:r>
        <w:separator/>
      </w:r>
    </w:p>
  </w:endnote>
  <w:endnote w:type="continuationSeparator" w:id="0">
    <w:p w14:paraId="12A517F3" w14:textId="77777777" w:rsidR="00781E6F" w:rsidRDefault="00781E6F"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바탕"/>
    <w:panose1 w:val="00000000000000000000"/>
    <w:charset w:val="81"/>
    <w:family w:val="roman"/>
    <w:notTrueType/>
    <w:pitch w:val="default"/>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Light">
    <w:altName w:val="Microsoft YaHei"/>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6055C4CE" w:rsidR="001530E9" w:rsidRPr="00473EE7" w:rsidRDefault="001530E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292260">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292260" w:rsidRPr="00292260">
      <w:rPr>
        <w:b/>
        <w:noProof/>
        <w:color w:val="595959"/>
        <w:sz w:val="20"/>
        <w:szCs w:val="20"/>
      </w:rPr>
      <w:t>9</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95102" w14:textId="77777777" w:rsidR="00781E6F" w:rsidRDefault="00781E6F" w:rsidP="00C01439">
      <w:r>
        <w:separator/>
      </w:r>
    </w:p>
  </w:footnote>
  <w:footnote w:type="continuationSeparator" w:id="0">
    <w:p w14:paraId="7A5A3080" w14:textId="77777777" w:rsidR="00781E6F" w:rsidRDefault="00781E6F"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BFE4E5C"/>
    <w:multiLevelType w:val="hybridMultilevel"/>
    <w:tmpl w:val="CD6E69A0"/>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E25C9C"/>
    <w:multiLevelType w:val="hybridMultilevel"/>
    <w:tmpl w:val="0B18FAF2"/>
    <w:lvl w:ilvl="0" w:tplc="5C6C2CFC">
      <w:numFmt w:val="bullet"/>
      <w:lvlText w:val="-"/>
      <w:lvlJc w:val="left"/>
      <w:pPr>
        <w:ind w:left="800" w:hanging="400"/>
      </w:pPr>
      <w:rPr>
        <w:rFonts w:ascii="Times New Roman" w:eastAsia="Times New Roman"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66B0AFE"/>
    <w:multiLevelType w:val="hybridMultilevel"/>
    <w:tmpl w:val="DCA8973E"/>
    <w:lvl w:ilvl="0" w:tplc="5C6C2CFC">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9BC4B33"/>
    <w:multiLevelType w:val="hybridMultilevel"/>
    <w:tmpl w:val="3A0EAA96"/>
    <w:lvl w:ilvl="0" w:tplc="EBA83828">
      <w:start w:val="1"/>
      <w:numFmt w:val="bullet"/>
      <w:lvlText w:val="-"/>
      <w:lvlJc w:val="left"/>
      <w:pPr>
        <w:tabs>
          <w:tab w:val="num" w:pos="720"/>
        </w:tabs>
        <w:ind w:left="720" w:hanging="360"/>
      </w:pPr>
      <w:rPr>
        <w:rFonts w:ascii="Times New Roman" w:hAnsi="Times New Roman" w:hint="default"/>
      </w:rPr>
    </w:lvl>
    <w:lvl w:ilvl="1" w:tplc="ADF4096C">
      <w:numFmt w:val="bullet"/>
      <w:lvlText w:val="-"/>
      <w:lvlJc w:val="left"/>
      <w:pPr>
        <w:tabs>
          <w:tab w:val="num" w:pos="1440"/>
        </w:tabs>
        <w:ind w:left="1440" w:hanging="360"/>
      </w:pPr>
      <w:rPr>
        <w:rFonts w:ascii="游ゴシック" w:hAnsi="游ゴシック" w:hint="default"/>
      </w:rPr>
    </w:lvl>
    <w:lvl w:ilvl="2" w:tplc="ECBA2E2A">
      <w:numFmt w:val="bullet"/>
      <w:lvlText w:val="-"/>
      <w:lvlJc w:val="left"/>
      <w:pPr>
        <w:tabs>
          <w:tab w:val="num" w:pos="2160"/>
        </w:tabs>
        <w:ind w:left="2160" w:hanging="360"/>
      </w:pPr>
      <w:rPr>
        <w:rFonts w:ascii="游ゴシック" w:hAnsi="游ゴシック" w:hint="default"/>
      </w:rPr>
    </w:lvl>
    <w:lvl w:ilvl="3" w:tplc="72BCF9EE">
      <w:start w:val="1"/>
      <w:numFmt w:val="bullet"/>
      <w:lvlText w:val="-"/>
      <w:lvlJc w:val="left"/>
      <w:pPr>
        <w:tabs>
          <w:tab w:val="num" w:pos="2880"/>
        </w:tabs>
        <w:ind w:left="2880" w:hanging="360"/>
      </w:pPr>
      <w:rPr>
        <w:rFonts w:ascii="Times New Roman" w:hAnsi="Times New Roman" w:hint="default"/>
      </w:rPr>
    </w:lvl>
    <w:lvl w:ilvl="4" w:tplc="CA7C7A64" w:tentative="1">
      <w:start w:val="1"/>
      <w:numFmt w:val="bullet"/>
      <w:lvlText w:val="-"/>
      <w:lvlJc w:val="left"/>
      <w:pPr>
        <w:tabs>
          <w:tab w:val="num" w:pos="3600"/>
        </w:tabs>
        <w:ind w:left="3600" w:hanging="360"/>
      </w:pPr>
      <w:rPr>
        <w:rFonts w:ascii="Times New Roman" w:hAnsi="Times New Roman" w:hint="default"/>
      </w:rPr>
    </w:lvl>
    <w:lvl w:ilvl="5" w:tplc="C7E88CAA" w:tentative="1">
      <w:start w:val="1"/>
      <w:numFmt w:val="bullet"/>
      <w:lvlText w:val="-"/>
      <w:lvlJc w:val="left"/>
      <w:pPr>
        <w:tabs>
          <w:tab w:val="num" w:pos="4320"/>
        </w:tabs>
        <w:ind w:left="4320" w:hanging="360"/>
      </w:pPr>
      <w:rPr>
        <w:rFonts w:ascii="Times New Roman" w:hAnsi="Times New Roman" w:hint="default"/>
      </w:rPr>
    </w:lvl>
    <w:lvl w:ilvl="6" w:tplc="D5B64E02" w:tentative="1">
      <w:start w:val="1"/>
      <w:numFmt w:val="bullet"/>
      <w:lvlText w:val="-"/>
      <w:lvlJc w:val="left"/>
      <w:pPr>
        <w:tabs>
          <w:tab w:val="num" w:pos="5040"/>
        </w:tabs>
        <w:ind w:left="5040" w:hanging="360"/>
      </w:pPr>
      <w:rPr>
        <w:rFonts w:ascii="Times New Roman" w:hAnsi="Times New Roman" w:hint="default"/>
      </w:rPr>
    </w:lvl>
    <w:lvl w:ilvl="7" w:tplc="F4F853A6" w:tentative="1">
      <w:start w:val="1"/>
      <w:numFmt w:val="bullet"/>
      <w:lvlText w:val="-"/>
      <w:lvlJc w:val="left"/>
      <w:pPr>
        <w:tabs>
          <w:tab w:val="num" w:pos="5760"/>
        </w:tabs>
        <w:ind w:left="5760" w:hanging="360"/>
      </w:pPr>
      <w:rPr>
        <w:rFonts w:ascii="Times New Roman" w:hAnsi="Times New Roman" w:hint="default"/>
      </w:rPr>
    </w:lvl>
    <w:lvl w:ilvl="8" w:tplc="66DC706A" w:tentative="1">
      <w:start w:val="1"/>
      <w:numFmt w:val="bullet"/>
      <w:lvlText w:val="-"/>
      <w:lvlJc w:val="left"/>
      <w:pPr>
        <w:tabs>
          <w:tab w:val="num" w:pos="6480"/>
        </w:tabs>
        <w:ind w:left="6480" w:hanging="360"/>
      </w:pPr>
      <w:rPr>
        <w:rFonts w:ascii="Times New Roman" w:hAnsi="Times New Roman" w:hint="default"/>
      </w:rPr>
    </w:lvl>
  </w:abstractNum>
  <w:abstractNum w:abstractNumId="8">
    <w:nsid w:val="3809000A"/>
    <w:multiLevelType w:val="hybridMultilevel"/>
    <w:tmpl w:val="5BF2B48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AA02ABB"/>
    <w:multiLevelType w:val="multilevel"/>
    <w:tmpl w:val="EAE863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nsid w:val="648B65DC"/>
    <w:multiLevelType w:val="multilevel"/>
    <w:tmpl w:val="64B6F6B2"/>
    <w:lvl w:ilvl="0">
      <w:numFmt w:val="bullet"/>
      <w:lvlText w:val="-"/>
      <w:lvlJc w:val="left"/>
      <w:pPr>
        <w:ind w:left="360" w:hanging="360"/>
      </w:pPr>
      <w:rPr>
        <w:rFonts w:ascii="Calibri" w:eastAsia="Calibri" w:hAnsi="Calibri" w:cs="Calibri"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66800204"/>
    <w:multiLevelType w:val="hybridMultilevel"/>
    <w:tmpl w:val="C1EC2B06"/>
    <w:lvl w:ilvl="0" w:tplc="5C6C2CFC">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D9828DD"/>
    <w:multiLevelType w:val="hybridMultilevel"/>
    <w:tmpl w:val="A7EED506"/>
    <w:lvl w:ilvl="0" w:tplc="D876B566">
      <w:start w:val="1"/>
      <w:numFmt w:val="bullet"/>
      <w:lvlText w:val="-"/>
      <w:lvlJc w:val="left"/>
      <w:pPr>
        <w:tabs>
          <w:tab w:val="num" w:pos="720"/>
        </w:tabs>
        <w:ind w:left="720" w:hanging="360"/>
      </w:pPr>
      <w:rPr>
        <w:rFonts w:ascii="Times New Roman" w:hAnsi="Times New Roman" w:cs="Times New Roman" w:hint="default"/>
      </w:rPr>
    </w:lvl>
    <w:lvl w:ilvl="1" w:tplc="7C2ABB26">
      <w:numFmt w:val="bullet"/>
      <w:lvlText w:val="-"/>
      <w:lvlJc w:val="left"/>
      <w:pPr>
        <w:tabs>
          <w:tab w:val="num" w:pos="1440"/>
        </w:tabs>
        <w:ind w:left="1440" w:hanging="360"/>
      </w:pPr>
      <w:rPr>
        <w:rFonts w:ascii="游ゴシック" w:eastAsia="Times New Roman" w:hint="eastAsia"/>
      </w:rPr>
    </w:lvl>
    <w:lvl w:ilvl="2" w:tplc="33F007A4">
      <w:numFmt w:val="bullet"/>
      <w:lvlText w:val="-"/>
      <w:lvlJc w:val="left"/>
      <w:pPr>
        <w:tabs>
          <w:tab w:val="num" w:pos="2160"/>
        </w:tabs>
        <w:ind w:left="2160" w:hanging="360"/>
      </w:pPr>
      <w:rPr>
        <w:rFonts w:ascii="游ゴシック" w:eastAsia="Times New Roman" w:hint="eastAsia"/>
      </w:rPr>
    </w:lvl>
    <w:lvl w:ilvl="3" w:tplc="6E6C9600">
      <w:numFmt w:val="bullet"/>
      <w:lvlText w:val="-"/>
      <w:lvlJc w:val="left"/>
      <w:pPr>
        <w:tabs>
          <w:tab w:val="num" w:pos="2880"/>
        </w:tabs>
        <w:ind w:left="2880" w:hanging="360"/>
      </w:pPr>
      <w:rPr>
        <w:rFonts w:ascii="游ゴシック" w:eastAsia="Times New Roman" w:hint="eastAsia"/>
      </w:rPr>
    </w:lvl>
    <w:lvl w:ilvl="4" w:tplc="E5160A52">
      <w:start w:val="1"/>
      <w:numFmt w:val="bullet"/>
      <w:lvlText w:val="-"/>
      <w:lvlJc w:val="left"/>
      <w:pPr>
        <w:tabs>
          <w:tab w:val="num" w:pos="3600"/>
        </w:tabs>
        <w:ind w:left="3600" w:hanging="360"/>
      </w:pPr>
      <w:rPr>
        <w:rFonts w:ascii="Times New Roman" w:hAnsi="Times New Roman" w:cs="Times New Roman" w:hint="default"/>
      </w:rPr>
    </w:lvl>
    <w:lvl w:ilvl="5" w:tplc="67B2A846">
      <w:start w:val="1"/>
      <w:numFmt w:val="bullet"/>
      <w:lvlText w:val="-"/>
      <w:lvlJc w:val="left"/>
      <w:pPr>
        <w:tabs>
          <w:tab w:val="num" w:pos="4320"/>
        </w:tabs>
        <w:ind w:left="4320" w:hanging="360"/>
      </w:pPr>
      <w:rPr>
        <w:rFonts w:ascii="Times New Roman" w:hAnsi="Times New Roman" w:cs="Times New Roman" w:hint="default"/>
      </w:rPr>
    </w:lvl>
    <w:lvl w:ilvl="6" w:tplc="F9909A72">
      <w:start w:val="1"/>
      <w:numFmt w:val="bullet"/>
      <w:lvlText w:val="-"/>
      <w:lvlJc w:val="left"/>
      <w:pPr>
        <w:tabs>
          <w:tab w:val="num" w:pos="5040"/>
        </w:tabs>
        <w:ind w:left="5040" w:hanging="360"/>
      </w:pPr>
      <w:rPr>
        <w:rFonts w:ascii="Times New Roman" w:hAnsi="Times New Roman" w:cs="Times New Roman" w:hint="default"/>
      </w:rPr>
    </w:lvl>
    <w:lvl w:ilvl="7" w:tplc="837E0482">
      <w:start w:val="1"/>
      <w:numFmt w:val="bullet"/>
      <w:lvlText w:val="-"/>
      <w:lvlJc w:val="left"/>
      <w:pPr>
        <w:tabs>
          <w:tab w:val="num" w:pos="5760"/>
        </w:tabs>
        <w:ind w:left="5760" w:hanging="360"/>
      </w:pPr>
      <w:rPr>
        <w:rFonts w:ascii="Times New Roman" w:hAnsi="Times New Roman" w:cs="Times New Roman" w:hint="default"/>
      </w:rPr>
    </w:lvl>
    <w:lvl w:ilvl="8" w:tplc="47944864">
      <w:start w:val="1"/>
      <w:numFmt w:val="bullet"/>
      <w:lvlText w:val="-"/>
      <w:lvlJc w:val="left"/>
      <w:pPr>
        <w:tabs>
          <w:tab w:val="num" w:pos="6480"/>
        </w:tabs>
        <w:ind w:left="6480" w:hanging="360"/>
      </w:pPr>
      <w:rPr>
        <w:rFonts w:ascii="Times New Roman" w:hAnsi="Times New Roman" w:cs="Times New Roman"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73FB403A"/>
    <w:multiLevelType w:val="multilevel"/>
    <w:tmpl w:val="A4F25D1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eastAsia"/>
        <w:i w:val="0"/>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8"/>
  </w:num>
  <w:num w:numId="4">
    <w:abstractNumId w:val="20"/>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12"/>
  </w:num>
  <w:num w:numId="9">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
  </w:num>
  <w:num w:numId="12">
    <w:abstractNumId w:val="13"/>
  </w:num>
  <w:num w:numId="13">
    <w:abstractNumId w:val="4"/>
  </w:num>
  <w:num w:numId="14">
    <w:abstractNumId w:val="6"/>
  </w:num>
  <w:num w:numId="15">
    <w:abstractNumId w:val="5"/>
  </w:num>
  <w:num w:numId="16">
    <w:abstractNumId w:val="14"/>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9"/>
  </w:num>
  <w:num w:numId="26">
    <w:abstractNumId w:val="8"/>
  </w:num>
  <w:num w:numId="27">
    <w:abstractNumId w:val="17"/>
  </w:num>
  <w:num w:numId="28">
    <w:abstractNumId w:val="7"/>
  </w:num>
  <w:num w:numId="2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210"/>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1CC"/>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142"/>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27E69"/>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B2B"/>
    <w:rsid w:val="0003751B"/>
    <w:rsid w:val="000401A6"/>
    <w:rsid w:val="000403FC"/>
    <w:rsid w:val="00041768"/>
    <w:rsid w:val="0004227F"/>
    <w:rsid w:val="00042B67"/>
    <w:rsid w:val="00042F21"/>
    <w:rsid w:val="00043370"/>
    <w:rsid w:val="000439E9"/>
    <w:rsid w:val="00043CB8"/>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C4"/>
    <w:rsid w:val="00056001"/>
    <w:rsid w:val="00056057"/>
    <w:rsid w:val="00056171"/>
    <w:rsid w:val="00056913"/>
    <w:rsid w:val="00056D9D"/>
    <w:rsid w:val="00056E72"/>
    <w:rsid w:val="00057A4F"/>
    <w:rsid w:val="00057E5A"/>
    <w:rsid w:val="000615D8"/>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424"/>
    <w:rsid w:val="00074DE7"/>
    <w:rsid w:val="00074FC5"/>
    <w:rsid w:val="00075115"/>
    <w:rsid w:val="000757F5"/>
    <w:rsid w:val="00075B09"/>
    <w:rsid w:val="00076280"/>
    <w:rsid w:val="00076944"/>
    <w:rsid w:val="00076FEF"/>
    <w:rsid w:val="0007704D"/>
    <w:rsid w:val="00077258"/>
    <w:rsid w:val="00080494"/>
    <w:rsid w:val="000807B5"/>
    <w:rsid w:val="000809E2"/>
    <w:rsid w:val="00080BB4"/>
    <w:rsid w:val="00080C05"/>
    <w:rsid w:val="00081316"/>
    <w:rsid w:val="00081512"/>
    <w:rsid w:val="00081675"/>
    <w:rsid w:val="00083BAD"/>
    <w:rsid w:val="00083F4B"/>
    <w:rsid w:val="0008416B"/>
    <w:rsid w:val="000846BE"/>
    <w:rsid w:val="00084BC0"/>
    <w:rsid w:val="00085408"/>
    <w:rsid w:val="000866D4"/>
    <w:rsid w:val="00086D9D"/>
    <w:rsid w:val="000871C5"/>
    <w:rsid w:val="00087992"/>
    <w:rsid w:val="00087D82"/>
    <w:rsid w:val="00087ECE"/>
    <w:rsid w:val="00090513"/>
    <w:rsid w:val="00090E71"/>
    <w:rsid w:val="000917D1"/>
    <w:rsid w:val="00091E4A"/>
    <w:rsid w:val="00092023"/>
    <w:rsid w:val="000933EE"/>
    <w:rsid w:val="00093694"/>
    <w:rsid w:val="00093B29"/>
    <w:rsid w:val="00093D92"/>
    <w:rsid w:val="00093E92"/>
    <w:rsid w:val="000941AD"/>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42"/>
    <w:rsid w:val="000A1F24"/>
    <w:rsid w:val="000A2061"/>
    <w:rsid w:val="000A26DD"/>
    <w:rsid w:val="000A2781"/>
    <w:rsid w:val="000A2798"/>
    <w:rsid w:val="000A2B0C"/>
    <w:rsid w:val="000A2DA3"/>
    <w:rsid w:val="000A2E86"/>
    <w:rsid w:val="000A307C"/>
    <w:rsid w:val="000A318A"/>
    <w:rsid w:val="000A31D2"/>
    <w:rsid w:val="000A3A85"/>
    <w:rsid w:val="000A3B37"/>
    <w:rsid w:val="000A4097"/>
    <w:rsid w:val="000A4605"/>
    <w:rsid w:val="000A489A"/>
    <w:rsid w:val="000A57B8"/>
    <w:rsid w:val="000A5824"/>
    <w:rsid w:val="000A5CD2"/>
    <w:rsid w:val="000A5D29"/>
    <w:rsid w:val="000A5EDA"/>
    <w:rsid w:val="000A699C"/>
    <w:rsid w:val="000A7226"/>
    <w:rsid w:val="000A7A6F"/>
    <w:rsid w:val="000A7F41"/>
    <w:rsid w:val="000B0B1B"/>
    <w:rsid w:val="000B1942"/>
    <w:rsid w:val="000B1B18"/>
    <w:rsid w:val="000B1DF6"/>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5E00"/>
    <w:rsid w:val="000C6F26"/>
    <w:rsid w:val="000C6F82"/>
    <w:rsid w:val="000C6FB0"/>
    <w:rsid w:val="000C7433"/>
    <w:rsid w:val="000D09D9"/>
    <w:rsid w:val="000D0AAB"/>
    <w:rsid w:val="000D17B3"/>
    <w:rsid w:val="000D1812"/>
    <w:rsid w:val="000D1C19"/>
    <w:rsid w:val="000D1F6F"/>
    <w:rsid w:val="000D2947"/>
    <w:rsid w:val="000D3D4C"/>
    <w:rsid w:val="000D3F0F"/>
    <w:rsid w:val="000D4057"/>
    <w:rsid w:val="000D4120"/>
    <w:rsid w:val="000D4376"/>
    <w:rsid w:val="000D4BB0"/>
    <w:rsid w:val="000D4CE7"/>
    <w:rsid w:val="000D513A"/>
    <w:rsid w:val="000D5617"/>
    <w:rsid w:val="000D57B3"/>
    <w:rsid w:val="000D65FD"/>
    <w:rsid w:val="000D760E"/>
    <w:rsid w:val="000E0C12"/>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822"/>
    <w:rsid w:val="000F2E1F"/>
    <w:rsid w:val="000F2FDB"/>
    <w:rsid w:val="000F3884"/>
    <w:rsid w:val="000F398D"/>
    <w:rsid w:val="000F4008"/>
    <w:rsid w:val="000F4258"/>
    <w:rsid w:val="000F4E06"/>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597"/>
    <w:rsid w:val="00105A84"/>
    <w:rsid w:val="00105CCF"/>
    <w:rsid w:val="001066BD"/>
    <w:rsid w:val="0010754F"/>
    <w:rsid w:val="0010760A"/>
    <w:rsid w:val="001076A7"/>
    <w:rsid w:val="001076E2"/>
    <w:rsid w:val="00107B6D"/>
    <w:rsid w:val="001104B6"/>
    <w:rsid w:val="00111CC3"/>
    <w:rsid w:val="00112461"/>
    <w:rsid w:val="00112E98"/>
    <w:rsid w:val="00112F82"/>
    <w:rsid w:val="00113875"/>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6A2"/>
    <w:rsid w:val="00124C29"/>
    <w:rsid w:val="00124E15"/>
    <w:rsid w:val="00125815"/>
    <w:rsid w:val="0012757F"/>
    <w:rsid w:val="001277B4"/>
    <w:rsid w:val="001277FE"/>
    <w:rsid w:val="001278E2"/>
    <w:rsid w:val="00127A43"/>
    <w:rsid w:val="00127A4C"/>
    <w:rsid w:val="00127B0D"/>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800"/>
    <w:rsid w:val="0014194A"/>
    <w:rsid w:val="00141A8F"/>
    <w:rsid w:val="00141C1E"/>
    <w:rsid w:val="00141DDE"/>
    <w:rsid w:val="001422FB"/>
    <w:rsid w:val="001439D7"/>
    <w:rsid w:val="0014451F"/>
    <w:rsid w:val="00144DB6"/>
    <w:rsid w:val="00145A3A"/>
    <w:rsid w:val="00146AAF"/>
    <w:rsid w:val="00147BD6"/>
    <w:rsid w:val="0015032A"/>
    <w:rsid w:val="001506CA"/>
    <w:rsid w:val="001511DA"/>
    <w:rsid w:val="001516BC"/>
    <w:rsid w:val="00152135"/>
    <w:rsid w:val="001521C8"/>
    <w:rsid w:val="00152983"/>
    <w:rsid w:val="00153092"/>
    <w:rsid w:val="001530E9"/>
    <w:rsid w:val="0015326B"/>
    <w:rsid w:val="00153F49"/>
    <w:rsid w:val="00153F5F"/>
    <w:rsid w:val="0015415A"/>
    <w:rsid w:val="0015429F"/>
    <w:rsid w:val="00154836"/>
    <w:rsid w:val="00154CCC"/>
    <w:rsid w:val="00154F78"/>
    <w:rsid w:val="001553A8"/>
    <w:rsid w:val="0015568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9D7"/>
    <w:rsid w:val="00163C91"/>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D34"/>
    <w:rsid w:val="0017621D"/>
    <w:rsid w:val="00176617"/>
    <w:rsid w:val="00176805"/>
    <w:rsid w:val="001771F6"/>
    <w:rsid w:val="0017788B"/>
    <w:rsid w:val="00177EA6"/>
    <w:rsid w:val="00180A12"/>
    <w:rsid w:val="0018109F"/>
    <w:rsid w:val="0018217D"/>
    <w:rsid w:val="0018261B"/>
    <w:rsid w:val="001826A8"/>
    <w:rsid w:val="00182914"/>
    <w:rsid w:val="00182FD6"/>
    <w:rsid w:val="00183F2B"/>
    <w:rsid w:val="001841FD"/>
    <w:rsid w:val="00184C11"/>
    <w:rsid w:val="0018580E"/>
    <w:rsid w:val="001859AB"/>
    <w:rsid w:val="00185ADC"/>
    <w:rsid w:val="00186840"/>
    <w:rsid w:val="001868BA"/>
    <w:rsid w:val="00187448"/>
    <w:rsid w:val="001877DD"/>
    <w:rsid w:val="001903E1"/>
    <w:rsid w:val="0019130B"/>
    <w:rsid w:val="00192250"/>
    <w:rsid w:val="001928F3"/>
    <w:rsid w:val="00192EDB"/>
    <w:rsid w:val="001936E7"/>
    <w:rsid w:val="00193795"/>
    <w:rsid w:val="00193B25"/>
    <w:rsid w:val="00193DD1"/>
    <w:rsid w:val="00193EAC"/>
    <w:rsid w:val="001949F4"/>
    <w:rsid w:val="00194AB6"/>
    <w:rsid w:val="00195292"/>
    <w:rsid w:val="001952B1"/>
    <w:rsid w:val="001956D6"/>
    <w:rsid w:val="00195784"/>
    <w:rsid w:val="001958D9"/>
    <w:rsid w:val="00195A9A"/>
    <w:rsid w:val="00195F5C"/>
    <w:rsid w:val="001968AE"/>
    <w:rsid w:val="00197567"/>
    <w:rsid w:val="00197593"/>
    <w:rsid w:val="00197DF0"/>
    <w:rsid w:val="001A008F"/>
    <w:rsid w:val="001A0F5D"/>
    <w:rsid w:val="001A0FE2"/>
    <w:rsid w:val="001A1429"/>
    <w:rsid w:val="001A199C"/>
    <w:rsid w:val="001A19B0"/>
    <w:rsid w:val="001A1A47"/>
    <w:rsid w:val="001A1C1E"/>
    <w:rsid w:val="001A1D46"/>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67E9"/>
    <w:rsid w:val="001A71A2"/>
    <w:rsid w:val="001A794B"/>
    <w:rsid w:val="001A79ED"/>
    <w:rsid w:val="001B00AD"/>
    <w:rsid w:val="001B15E3"/>
    <w:rsid w:val="001B185A"/>
    <w:rsid w:val="001B1F6B"/>
    <w:rsid w:val="001B21C2"/>
    <w:rsid w:val="001B28DC"/>
    <w:rsid w:val="001B3606"/>
    <w:rsid w:val="001B3B6E"/>
    <w:rsid w:val="001B3BE3"/>
    <w:rsid w:val="001B3F40"/>
    <w:rsid w:val="001B425B"/>
    <w:rsid w:val="001B4549"/>
    <w:rsid w:val="001B4681"/>
    <w:rsid w:val="001B4F35"/>
    <w:rsid w:val="001B512A"/>
    <w:rsid w:val="001B543D"/>
    <w:rsid w:val="001B5D3F"/>
    <w:rsid w:val="001B5F23"/>
    <w:rsid w:val="001B67AA"/>
    <w:rsid w:val="001B6A7C"/>
    <w:rsid w:val="001B7003"/>
    <w:rsid w:val="001B7028"/>
    <w:rsid w:val="001C0033"/>
    <w:rsid w:val="001C02CC"/>
    <w:rsid w:val="001C0587"/>
    <w:rsid w:val="001C0D43"/>
    <w:rsid w:val="001C0DCC"/>
    <w:rsid w:val="001C10C5"/>
    <w:rsid w:val="001C10E9"/>
    <w:rsid w:val="001C2BEA"/>
    <w:rsid w:val="001C2D35"/>
    <w:rsid w:val="001C36BC"/>
    <w:rsid w:val="001C39CD"/>
    <w:rsid w:val="001C3EC8"/>
    <w:rsid w:val="001C403F"/>
    <w:rsid w:val="001C4A05"/>
    <w:rsid w:val="001C4E9F"/>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29F3"/>
    <w:rsid w:val="001E48DA"/>
    <w:rsid w:val="001E4C9B"/>
    <w:rsid w:val="001E4FF5"/>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6FB"/>
    <w:rsid w:val="001F495C"/>
    <w:rsid w:val="001F49CC"/>
    <w:rsid w:val="001F4A71"/>
    <w:rsid w:val="001F4EEF"/>
    <w:rsid w:val="001F5486"/>
    <w:rsid w:val="001F5FE3"/>
    <w:rsid w:val="001F66FE"/>
    <w:rsid w:val="001F6855"/>
    <w:rsid w:val="001F6A76"/>
    <w:rsid w:val="001F7BAA"/>
    <w:rsid w:val="00200284"/>
    <w:rsid w:val="002014BE"/>
    <w:rsid w:val="002015AA"/>
    <w:rsid w:val="00201EC7"/>
    <w:rsid w:val="0020275F"/>
    <w:rsid w:val="00202A7A"/>
    <w:rsid w:val="00202B6E"/>
    <w:rsid w:val="00202BA0"/>
    <w:rsid w:val="00202F7B"/>
    <w:rsid w:val="0020344D"/>
    <w:rsid w:val="002034CB"/>
    <w:rsid w:val="0020392D"/>
    <w:rsid w:val="00203A15"/>
    <w:rsid w:val="002040AF"/>
    <w:rsid w:val="002043C1"/>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A1B"/>
    <w:rsid w:val="00215CA4"/>
    <w:rsid w:val="00215E25"/>
    <w:rsid w:val="00215FFF"/>
    <w:rsid w:val="00216557"/>
    <w:rsid w:val="00216BB7"/>
    <w:rsid w:val="00216CE1"/>
    <w:rsid w:val="00216F23"/>
    <w:rsid w:val="00216FD8"/>
    <w:rsid w:val="00217943"/>
    <w:rsid w:val="00217A68"/>
    <w:rsid w:val="00220DAB"/>
    <w:rsid w:val="00221573"/>
    <w:rsid w:val="0022200F"/>
    <w:rsid w:val="0022228A"/>
    <w:rsid w:val="002222AB"/>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35C8A"/>
    <w:rsid w:val="0023640A"/>
    <w:rsid w:val="002401C1"/>
    <w:rsid w:val="00240D13"/>
    <w:rsid w:val="00240FE1"/>
    <w:rsid w:val="00241174"/>
    <w:rsid w:val="002417EC"/>
    <w:rsid w:val="00241CFA"/>
    <w:rsid w:val="002422C4"/>
    <w:rsid w:val="0024256E"/>
    <w:rsid w:val="002428C6"/>
    <w:rsid w:val="00242EB2"/>
    <w:rsid w:val="00243853"/>
    <w:rsid w:val="002438B3"/>
    <w:rsid w:val="00243ECC"/>
    <w:rsid w:val="002441BB"/>
    <w:rsid w:val="002445AE"/>
    <w:rsid w:val="00244B0E"/>
    <w:rsid w:val="00244D99"/>
    <w:rsid w:val="00245978"/>
    <w:rsid w:val="002473CA"/>
    <w:rsid w:val="002474E1"/>
    <w:rsid w:val="0024784F"/>
    <w:rsid w:val="00247CB3"/>
    <w:rsid w:val="00250670"/>
    <w:rsid w:val="002508F5"/>
    <w:rsid w:val="00250BCB"/>
    <w:rsid w:val="00250D44"/>
    <w:rsid w:val="0025223D"/>
    <w:rsid w:val="00252DD8"/>
    <w:rsid w:val="002530A3"/>
    <w:rsid w:val="00253641"/>
    <w:rsid w:val="002541DD"/>
    <w:rsid w:val="00254D03"/>
    <w:rsid w:val="002562A8"/>
    <w:rsid w:val="0025635D"/>
    <w:rsid w:val="002565FC"/>
    <w:rsid w:val="0025688A"/>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A2E"/>
    <w:rsid w:val="00265AB7"/>
    <w:rsid w:val="002665FE"/>
    <w:rsid w:val="00266810"/>
    <w:rsid w:val="00267EDC"/>
    <w:rsid w:val="002707DA"/>
    <w:rsid w:val="002708F7"/>
    <w:rsid w:val="00270F03"/>
    <w:rsid w:val="002715D5"/>
    <w:rsid w:val="0027181D"/>
    <w:rsid w:val="00271E54"/>
    <w:rsid w:val="00271E6D"/>
    <w:rsid w:val="00272135"/>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2267"/>
    <w:rsid w:val="0028268D"/>
    <w:rsid w:val="00283523"/>
    <w:rsid w:val="00283659"/>
    <w:rsid w:val="002839D7"/>
    <w:rsid w:val="002840B4"/>
    <w:rsid w:val="002853CD"/>
    <w:rsid w:val="00285B42"/>
    <w:rsid w:val="00286362"/>
    <w:rsid w:val="0028647E"/>
    <w:rsid w:val="00286A08"/>
    <w:rsid w:val="00286F48"/>
    <w:rsid w:val="00290064"/>
    <w:rsid w:val="0029015B"/>
    <w:rsid w:val="00290713"/>
    <w:rsid w:val="00290FA3"/>
    <w:rsid w:val="00292004"/>
    <w:rsid w:val="00292260"/>
    <w:rsid w:val="0029233F"/>
    <w:rsid w:val="00292741"/>
    <w:rsid w:val="00292836"/>
    <w:rsid w:val="00292DCE"/>
    <w:rsid w:val="002937B7"/>
    <w:rsid w:val="002938D0"/>
    <w:rsid w:val="00293A7E"/>
    <w:rsid w:val="00294CE9"/>
    <w:rsid w:val="00294E85"/>
    <w:rsid w:val="00295248"/>
    <w:rsid w:val="00295EC8"/>
    <w:rsid w:val="0029622C"/>
    <w:rsid w:val="002962B9"/>
    <w:rsid w:val="00296AC7"/>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000"/>
    <w:rsid w:val="002B21DD"/>
    <w:rsid w:val="002B2548"/>
    <w:rsid w:val="002B2601"/>
    <w:rsid w:val="002B261B"/>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1626"/>
    <w:rsid w:val="002C207D"/>
    <w:rsid w:val="002C28EE"/>
    <w:rsid w:val="002C2BB2"/>
    <w:rsid w:val="002C3BE0"/>
    <w:rsid w:val="002C4064"/>
    <w:rsid w:val="002C481D"/>
    <w:rsid w:val="002C4FB5"/>
    <w:rsid w:val="002C5251"/>
    <w:rsid w:val="002C54D1"/>
    <w:rsid w:val="002C59D1"/>
    <w:rsid w:val="002C64DF"/>
    <w:rsid w:val="002C6C61"/>
    <w:rsid w:val="002C726F"/>
    <w:rsid w:val="002D040A"/>
    <w:rsid w:val="002D08D7"/>
    <w:rsid w:val="002D090A"/>
    <w:rsid w:val="002D117B"/>
    <w:rsid w:val="002D2978"/>
    <w:rsid w:val="002D2AFF"/>
    <w:rsid w:val="002D2EB7"/>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6E78"/>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98C"/>
    <w:rsid w:val="002E5DC3"/>
    <w:rsid w:val="002E63A3"/>
    <w:rsid w:val="002E7D73"/>
    <w:rsid w:val="002F0609"/>
    <w:rsid w:val="002F0C7A"/>
    <w:rsid w:val="002F10C5"/>
    <w:rsid w:val="002F1185"/>
    <w:rsid w:val="002F11E5"/>
    <w:rsid w:val="002F2008"/>
    <w:rsid w:val="002F21CB"/>
    <w:rsid w:val="002F234E"/>
    <w:rsid w:val="002F2C99"/>
    <w:rsid w:val="002F2F5D"/>
    <w:rsid w:val="002F3423"/>
    <w:rsid w:val="002F3AFE"/>
    <w:rsid w:val="002F43C1"/>
    <w:rsid w:val="002F4672"/>
    <w:rsid w:val="002F486E"/>
    <w:rsid w:val="002F4A1A"/>
    <w:rsid w:val="002F5ECB"/>
    <w:rsid w:val="002F67D1"/>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55F6"/>
    <w:rsid w:val="003266C9"/>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83"/>
    <w:rsid w:val="0033402E"/>
    <w:rsid w:val="003343ED"/>
    <w:rsid w:val="00334B96"/>
    <w:rsid w:val="00335288"/>
    <w:rsid w:val="003356DD"/>
    <w:rsid w:val="00336073"/>
    <w:rsid w:val="003364C7"/>
    <w:rsid w:val="003377F2"/>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5A0"/>
    <w:rsid w:val="00350E75"/>
    <w:rsid w:val="003510FC"/>
    <w:rsid w:val="0035148D"/>
    <w:rsid w:val="003519CB"/>
    <w:rsid w:val="0035226E"/>
    <w:rsid w:val="00352996"/>
    <w:rsid w:val="00353B29"/>
    <w:rsid w:val="00353E12"/>
    <w:rsid w:val="00353FC2"/>
    <w:rsid w:val="00354165"/>
    <w:rsid w:val="0035425E"/>
    <w:rsid w:val="00354AC2"/>
    <w:rsid w:val="00354DF5"/>
    <w:rsid w:val="00354F39"/>
    <w:rsid w:val="003553C4"/>
    <w:rsid w:val="003555C2"/>
    <w:rsid w:val="00355761"/>
    <w:rsid w:val="00355A4B"/>
    <w:rsid w:val="00355F53"/>
    <w:rsid w:val="00356300"/>
    <w:rsid w:val="00356807"/>
    <w:rsid w:val="003577B9"/>
    <w:rsid w:val="00357C04"/>
    <w:rsid w:val="003602EF"/>
    <w:rsid w:val="00360BB3"/>
    <w:rsid w:val="003610F9"/>
    <w:rsid w:val="00361201"/>
    <w:rsid w:val="003612B5"/>
    <w:rsid w:val="003623FE"/>
    <w:rsid w:val="003628E4"/>
    <w:rsid w:val="00362F83"/>
    <w:rsid w:val="0036304D"/>
    <w:rsid w:val="00363280"/>
    <w:rsid w:val="00363396"/>
    <w:rsid w:val="003636B9"/>
    <w:rsid w:val="00363750"/>
    <w:rsid w:val="00363842"/>
    <w:rsid w:val="00364298"/>
    <w:rsid w:val="003646B9"/>
    <w:rsid w:val="00364752"/>
    <w:rsid w:val="00364B30"/>
    <w:rsid w:val="00364DDD"/>
    <w:rsid w:val="00365079"/>
    <w:rsid w:val="00365A41"/>
    <w:rsid w:val="00365ADB"/>
    <w:rsid w:val="0036673B"/>
    <w:rsid w:val="0036738C"/>
    <w:rsid w:val="00367C07"/>
    <w:rsid w:val="00367D39"/>
    <w:rsid w:val="00367EFA"/>
    <w:rsid w:val="003702CC"/>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407"/>
    <w:rsid w:val="00375604"/>
    <w:rsid w:val="00375E4D"/>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74AD"/>
    <w:rsid w:val="00387522"/>
    <w:rsid w:val="00387E76"/>
    <w:rsid w:val="0039021C"/>
    <w:rsid w:val="003910DD"/>
    <w:rsid w:val="003914A5"/>
    <w:rsid w:val="003915A0"/>
    <w:rsid w:val="00391985"/>
    <w:rsid w:val="00391B31"/>
    <w:rsid w:val="00391CF0"/>
    <w:rsid w:val="00391DA0"/>
    <w:rsid w:val="003929F6"/>
    <w:rsid w:val="0039447B"/>
    <w:rsid w:val="0039480A"/>
    <w:rsid w:val="0039498F"/>
    <w:rsid w:val="00394B60"/>
    <w:rsid w:val="00394BFE"/>
    <w:rsid w:val="00394F12"/>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C98"/>
    <w:rsid w:val="003A3F43"/>
    <w:rsid w:val="003A407F"/>
    <w:rsid w:val="003A43C4"/>
    <w:rsid w:val="003A4A29"/>
    <w:rsid w:val="003A4ABD"/>
    <w:rsid w:val="003A4C63"/>
    <w:rsid w:val="003A4F2B"/>
    <w:rsid w:val="003A4F56"/>
    <w:rsid w:val="003A509F"/>
    <w:rsid w:val="003A527E"/>
    <w:rsid w:val="003A692E"/>
    <w:rsid w:val="003A702C"/>
    <w:rsid w:val="003A7D2E"/>
    <w:rsid w:val="003B1402"/>
    <w:rsid w:val="003B157F"/>
    <w:rsid w:val="003B170C"/>
    <w:rsid w:val="003B1778"/>
    <w:rsid w:val="003B1796"/>
    <w:rsid w:val="003B1A94"/>
    <w:rsid w:val="003B1AA5"/>
    <w:rsid w:val="003B1F92"/>
    <w:rsid w:val="003B1FB4"/>
    <w:rsid w:val="003B2554"/>
    <w:rsid w:val="003B2636"/>
    <w:rsid w:val="003B278E"/>
    <w:rsid w:val="003B340B"/>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445"/>
    <w:rsid w:val="003C4748"/>
    <w:rsid w:val="003C6224"/>
    <w:rsid w:val="003C64DB"/>
    <w:rsid w:val="003C6D6C"/>
    <w:rsid w:val="003C6DF0"/>
    <w:rsid w:val="003C6EA8"/>
    <w:rsid w:val="003D0000"/>
    <w:rsid w:val="003D07D6"/>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277"/>
    <w:rsid w:val="003D638D"/>
    <w:rsid w:val="003D6A5D"/>
    <w:rsid w:val="003D6DBC"/>
    <w:rsid w:val="003D7D1C"/>
    <w:rsid w:val="003E1431"/>
    <w:rsid w:val="003E1832"/>
    <w:rsid w:val="003E2043"/>
    <w:rsid w:val="003E214E"/>
    <w:rsid w:val="003E27B5"/>
    <w:rsid w:val="003E2BC3"/>
    <w:rsid w:val="003E37F6"/>
    <w:rsid w:val="003E3B88"/>
    <w:rsid w:val="003E3BF1"/>
    <w:rsid w:val="003E452B"/>
    <w:rsid w:val="003E4564"/>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0D48"/>
    <w:rsid w:val="004113EA"/>
    <w:rsid w:val="00411BF8"/>
    <w:rsid w:val="00411D33"/>
    <w:rsid w:val="0041218A"/>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6C0C"/>
    <w:rsid w:val="00417252"/>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5B70"/>
    <w:rsid w:val="00426A72"/>
    <w:rsid w:val="0042791D"/>
    <w:rsid w:val="00427B44"/>
    <w:rsid w:val="00427E5C"/>
    <w:rsid w:val="00427FA2"/>
    <w:rsid w:val="004300B2"/>
    <w:rsid w:val="0043017B"/>
    <w:rsid w:val="00430811"/>
    <w:rsid w:val="0043099C"/>
    <w:rsid w:val="00430CFA"/>
    <w:rsid w:val="0043185E"/>
    <w:rsid w:val="00432563"/>
    <w:rsid w:val="0043339B"/>
    <w:rsid w:val="0043364F"/>
    <w:rsid w:val="004340CE"/>
    <w:rsid w:val="004350D8"/>
    <w:rsid w:val="00435780"/>
    <w:rsid w:val="00435A1D"/>
    <w:rsid w:val="00436110"/>
    <w:rsid w:val="004369B9"/>
    <w:rsid w:val="004373AE"/>
    <w:rsid w:val="004373CE"/>
    <w:rsid w:val="004376AC"/>
    <w:rsid w:val="00437A6A"/>
    <w:rsid w:val="00437C43"/>
    <w:rsid w:val="00440522"/>
    <w:rsid w:val="004405FE"/>
    <w:rsid w:val="00441A13"/>
    <w:rsid w:val="00441D90"/>
    <w:rsid w:val="00441F41"/>
    <w:rsid w:val="004425E1"/>
    <w:rsid w:val="00442865"/>
    <w:rsid w:val="00442C0C"/>
    <w:rsid w:val="00443007"/>
    <w:rsid w:val="00443085"/>
    <w:rsid w:val="00443747"/>
    <w:rsid w:val="00444325"/>
    <w:rsid w:val="00444774"/>
    <w:rsid w:val="00444799"/>
    <w:rsid w:val="00444EB2"/>
    <w:rsid w:val="00444EEA"/>
    <w:rsid w:val="004451E6"/>
    <w:rsid w:val="004452A3"/>
    <w:rsid w:val="00445D33"/>
    <w:rsid w:val="00446183"/>
    <w:rsid w:val="004461FE"/>
    <w:rsid w:val="00446432"/>
    <w:rsid w:val="00446D8F"/>
    <w:rsid w:val="0044715E"/>
    <w:rsid w:val="00447BCE"/>
    <w:rsid w:val="00447C05"/>
    <w:rsid w:val="00447E29"/>
    <w:rsid w:val="004501B8"/>
    <w:rsid w:val="00450236"/>
    <w:rsid w:val="00450F28"/>
    <w:rsid w:val="00451263"/>
    <w:rsid w:val="004512B5"/>
    <w:rsid w:val="00451E4E"/>
    <w:rsid w:val="004523F2"/>
    <w:rsid w:val="00452AF0"/>
    <w:rsid w:val="00453167"/>
    <w:rsid w:val="00453218"/>
    <w:rsid w:val="0045369B"/>
    <w:rsid w:val="004537FF"/>
    <w:rsid w:val="00454008"/>
    <w:rsid w:val="004547AC"/>
    <w:rsid w:val="00454BE7"/>
    <w:rsid w:val="00454CE4"/>
    <w:rsid w:val="00455E2C"/>
    <w:rsid w:val="00455E6E"/>
    <w:rsid w:val="0045638B"/>
    <w:rsid w:val="00456696"/>
    <w:rsid w:val="004567CF"/>
    <w:rsid w:val="00456F82"/>
    <w:rsid w:val="00457BE1"/>
    <w:rsid w:val="00457C3E"/>
    <w:rsid w:val="00457F7A"/>
    <w:rsid w:val="00460143"/>
    <w:rsid w:val="004607A9"/>
    <w:rsid w:val="004607F2"/>
    <w:rsid w:val="00460AAA"/>
    <w:rsid w:val="004615CE"/>
    <w:rsid w:val="00462A24"/>
    <w:rsid w:val="00462D89"/>
    <w:rsid w:val="00462F36"/>
    <w:rsid w:val="00463FED"/>
    <w:rsid w:val="004648BB"/>
    <w:rsid w:val="00465820"/>
    <w:rsid w:val="00465AAA"/>
    <w:rsid w:val="00465ACE"/>
    <w:rsid w:val="00465BDB"/>
    <w:rsid w:val="00465CB2"/>
    <w:rsid w:val="00465E8C"/>
    <w:rsid w:val="00466434"/>
    <w:rsid w:val="0046649C"/>
    <w:rsid w:val="004668AE"/>
    <w:rsid w:val="00466D36"/>
    <w:rsid w:val="00467197"/>
    <w:rsid w:val="0046722D"/>
    <w:rsid w:val="004673D0"/>
    <w:rsid w:val="004677BB"/>
    <w:rsid w:val="004677D4"/>
    <w:rsid w:val="0047023B"/>
    <w:rsid w:val="00470787"/>
    <w:rsid w:val="00470CDA"/>
    <w:rsid w:val="00471C16"/>
    <w:rsid w:val="004721FA"/>
    <w:rsid w:val="0047321B"/>
    <w:rsid w:val="0047382B"/>
    <w:rsid w:val="00473EE7"/>
    <w:rsid w:val="00474C66"/>
    <w:rsid w:val="00475EA3"/>
    <w:rsid w:val="00476172"/>
    <w:rsid w:val="00476482"/>
    <w:rsid w:val="00476541"/>
    <w:rsid w:val="00477E26"/>
    <w:rsid w:val="0048118E"/>
    <w:rsid w:val="004815DC"/>
    <w:rsid w:val="00481724"/>
    <w:rsid w:val="00481773"/>
    <w:rsid w:val="00481E5B"/>
    <w:rsid w:val="004822FE"/>
    <w:rsid w:val="004823D4"/>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DEB"/>
    <w:rsid w:val="004A105B"/>
    <w:rsid w:val="004A106E"/>
    <w:rsid w:val="004A16B7"/>
    <w:rsid w:val="004A19DC"/>
    <w:rsid w:val="004A1AF9"/>
    <w:rsid w:val="004A1B74"/>
    <w:rsid w:val="004A230E"/>
    <w:rsid w:val="004A2ED6"/>
    <w:rsid w:val="004A2F87"/>
    <w:rsid w:val="004A2F9A"/>
    <w:rsid w:val="004A3858"/>
    <w:rsid w:val="004A3CB3"/>
    <w:rsid w:val="004A5325"/>
    <w:rsid w:val="004A54BA"/>
    <w:rsid w:val="004A59F2"/>
    <w:rsid w:val="004A6993"/>
    <w:rsid w:val="004A6C42"/>
    <w:rsid w:val="004A728C"/>
    <w:rsid w:val="004A7A10"/>
    <w:rsid w:val="004A7A31"/>
    <w:rsid w:val="004A7A43"/>
    <w:rsid w:val="004B0048"/>
    <w:rsid w:val="004B0307"/>
    <w:rsid w:val="004B0C16"/>
    <w:rsid w:val="004B1170"/>
    <w:rsid w:val="004B19E9"/>
    <w:rsid w:val="004B1F29"/>
    <w:rsid w:val="004B35E7"/>
    <w:rsid w:val="004B3719"/>
    <w:rsid w:val="004B3932"/>
    <w:rsid w:val="004B443D"/>
    <w:rsid w:val="004B46F6"/>
    <w:rsid w:val="004B4E87"/>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0F98"/>
    <w:rsid w:val="004C1246"/>
    <w:rsid w:val="004C1724"/>
    <w:rsid w:val="004C17E3"/>
    <w:rsid w:val="004C192A"/>
    <w:rsid w:val="004C463A"/>
    <w:rsid w:val="004C4AC0"/>
    <w:rsid w:val="004C4CBF"/>
    <w:rsid w:val="004C4D2C"/>
    <w:rsid w:val="004C5012"/>
    <w:rsid w:val="004C5127"/>
    <w:rsid w:val="004C5256"/>
    <w:rsid w:val="004C527E"/>
    <w:rsid w:val="004C5383"/>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51"/>
    <w:rsid w:val="004D2D94"/>
    <w:rsid w:val="004D3684"/>
    <w:rsid w:val="004D3BB3"/>
    <w:rsid w:val="004D478A"/>
    <w:rsid w:val="004D5340"/>
    <w:rsid w:val="004D5B9A"/>
    <w:rsid w:val="004D5D1A"/>
    <w:rsid w:val="004D5F74"/>
    <w:rsid w:val="004D662B"/>
    <w:rsid w:val="004D682C"/>
    <w:rsid w:val="004D6B25"/>
    <w:rsid w:val="004D6CEE"/>
    <w:rsid w:val="004D6E0D"/>
    <w:rsid w:val="004D6F9A"/>
    <w:rsid w:val="004D746E"/>
    <w:rsid w:val="004D7C2E"/>
    <w:rsid w:val="004E0A87"/>
    <w:rsid w:val="004E10BC"/>
    <w:rsid w:val="004E165F"/>
    <w:rsid w:val="004E182D"/>
    <w:rsid w:val="004E23C5"/>
    <w:rsid w:val="004E241D"/>
    <w:rsid w:val="004E317E"/>
    <w:rsid w:val="004E339A"/>
    <w:rsid w:val="004E37D2"/>
    <w:rsid w:val="004E3C0E"/>
    <w:rsid w:val="004E3C5D"/>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1951"/>
    <w:rsid w:val="004F22BD"/>
    <w:rsid w:val="004F2699"/>
    <w:rsid w:val="004F2AA4"/>
    <w:rsid w:val="004F2EAC"/>
    <w:rsid w:val="004F342C"/>
    <w:rsid w:val="004F38C5"/>
    <w:rsid w:val="004F3F9A"/>
    <w:rsid w:val="004F44A5"/>
    <w:rsid w:val="004F450D"/>
    <w:rsid w:val="004F4971"/>
    <w:rsid w:val="004F4B68"/>
    <w:rsid w:val="004F4C11"/>
    <w:rsid w:val="004F5221"/>
    <w:rsid w:val="004F658D"/>
    <w:rsid w:val="004F6820"/>
    <w:rsid w:val="004F6877"/>
    <w:rsid w:val="004F6A3A"/>
    <w:rsid w:val="004F6A87"/>
    <w:rsid w:val="004F7395"/>
    <w:rsid w:val="004F7962"/>
    <w:rsid w:val="004F7986"/>
    <w:rsid w:val="004F7E71"/>
    <w:rsid w:val="005005B8"/>
    <w:rsid w:val="00501490"/>
    <w:rsid w:val="00501624"/>
    <w:rsid w:val="00501B55"/>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8E"/>
    <w:rsid w:val="005235A5"/>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078"/>
    <w:rsid w:val="00531145"/>
    <w:rsid w:val="00531E00"/>
    <w:rsid w:val="005322A6"/>
    <w:rsid w:val="0053291B"/>
    <w:rsid w:val="00532FFF"/>
    <w:rsid w:val="00533615"/>
    <w:rsid w:val="00533A20"/>
    <w:rsid w:val="00533B48"/>
    <w:rsid w:val="005341B6"/>
    <w:rsid w:val="005342F6"/>
    <w:rsid w:val="00534481"/>
    <w:rsid w:val="0053584D"/>
    <w:rsid w:val="005358FE"/>
    <w:rsid w:val="00535B28"/>
    <w:rsid w:val="0053618E"/>
    <w:rsid w:val="005361B1"/>
    <w:rsid w:val="005366E9"/>
    <w:rsid w:val="00537688"/>
    <w:rsid w:val="005378E3"/>
    <w:rsid w:val="00537B5E"/>
    <w:rsid w:val="00540AB6"/>
    <w:rsid w:val="00540D7F"/>
    <w:rsid w:val="005413BB"/>
    <w:rsid w:val="005419F6"/>
    <w:rsid w:val="00542141"/>
    <w:rsid w:val="0054371E"/>
    <w:rsid w:val="005437C4"/>
    <w:rsid w:val="00543948"/>
    <w:rsid w:val="00543C79"/>
    <w:rsid w:val="005443D3"/>
    <w:rsid w:val="00544BDE"/>
    <w:rsid w:val="00545166"/>
    <w:rsid w:val="00545869"/>
    <w:rsid w:val="0054627E"/>
    <w:rsid w:val="005466EA"/>
    <w:rsid w:val="00546B56"/>
    <w:rsid w:val="005475F9"/>
    <w:rsid w:val="00547817"/>
    <w:rsid w:val="00547D63"/>
    <w:rsid w:val="00550929"/>
    <w:rsid w:val="00551183"/>
    <w:rsid w:val="005511AD"/>
    <w:rsid w:val="005516D1"/>
    <w:rsid w:val="005518AC"/>
    <w:rsid w:val="00551B5D"/>
    <w:rsid w:val="005525BC"/>
    <w:rsid w:val="00552EDD"/>
    <w:rsid w:val="00552F62"/>
    <w:rsid w:val="005530E6"/>
    <w:rsid w:val="0055390D"/>
    <w:rsid w:val="0055410C"/>
    <w:rsid w:val="00554517"/>
    <w:rsid w:val="0055458D"/>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57C1A"/>
    <w:rsid w:val="00560EE7"/>
    <w:rsid w:val="005617E0"/>
    <w:rsid w:val="00561B51"/>
    <w:rsid w:val="00561EAD"/>
    <w:rsid w:val="00561EBF"/>
    <w:rsid w:val="00562062"/>
    <w:rsid w:val="00562234"/>
    <w:rsid w:val="005627A2"/>
    <w:rsid w:val="00562B1E"/>
    <w:rsid w:val="005630F5"/>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6E8C"/>
    <w:rsid w:val="00567054"/>
    <w:rsid w:val="00567CB7"/>
    <w:rsid w:val="00567ED4"/>
    <w:rsid w:val="0057007D"/>
    <w:rsid w:val="00570100"/>
    <w:rsid w:val="005703F1"/>
    <w:rsid w:val="005706CC"/>
    <w:rsid w:val="0057186A"/>
    <w:rsid w:val="00571D78"/>
    <w:rsid w:val="005720E7"/>
    <w:rsid w:val="005727EB"/>
    <w:rsid w:val="005728F9"/>
    <w:rsid w:val="00572C72"/>
    <w:rsid w:val="00573419"/>
    <w:rsid w:val="00573507"/>
    <w:rsid w:val="005736A1"/>
    <w:rsid w:val="00574756"/>
    <w:rsid w:val="00574F10"/>
    <w:rsid w:val="0057539E"/>
    <w:rsid w:val="005753E3"/>
    <w:rsid w:val="0057573F"/>
    <w:rsid w:val="00575AA2"/>
    <w:rsid w:val="00575D99"/>
    <w:rsid w:val="00576091"/>
    <w:rsid w:val="005766E3"/>
    <w:rsid w:val="005776CA"/>
    <w:rsid w:val="00577741"/>
    <w:rsid w:val="005813D4"/>
    <w:rsid w:val="005813EA"/>
    <w:rsid w:val="00581918"/>
    <w:rsid w:val="00582709"/>
    <w:rsid w:val="00582E0B"/>
    <w:rsid w:val="00582E40"/>
    <w:rsid w:val="005836C2"/>
    <w:rsid w:val="00583768"/>
    <w:rsid w:val="00583939"/>
    <w:rsid w:val="0058393F"/>
    <w:rsid w:val="005839F2"/>
    <w:rsid w:val="00583B15"/>
    <w:rsid w:val="00583FB0"/>
    <w:rsid w:val="00585182"/>
    <w:rsid w:val="00585200"/>
    <w:rsid w:val="00585A14"/>
    <w:rsid w:val="00585A18"/>
    <w:rsid w:val="0058659D"/>
    <w:rsid w:val="00586DAA"/>
    <w:rsid w:val="00587D80"/>
    <w:rsid w:val="00590141"/>
    <w:rsid w:val="0059195A"/>
    <w:rsid w:val="005919BA"/>
    <w:rsid w:val="005923A6"/>
    <w:rsid w:val="00592862"/>
    <w:rsid w:val="00592C5F"/>
    <w:rsid w:val="00593BEB"/>
    <w:rsid w:val="00593F23"/>
    <w:rsid w:val="00594AD7"/>
    <w:rsid w:val="00594DAA"/>
    <w:rsid w:val="00594F9D"/>
    <w:rsid w:val="005954AA"/>
    <w:rsid w:val="00595B75"/>
    <w:rsid w:val="00595C52"/>
    <w:rsid w:val="005963DF"/>
    <w:rsid w:val="005973A5"/>
    <w:rsid w:val="005973B5"/>
    <w:rsid w:val="00597683"/>
    <w:rsid w:val="005A04E1"/>
    <w:rsid w:val="005A05F8"/>
    <w:rsid w:val="005A077B"/>
    <w:rsid w:val="005A0D99"/>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2DF5"/>
    <w:rsid w:val="005B30DA"/>
    <w:rsid w:val="005B35DA"/>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0FB9"/>
    <w:rsid w:val="005C172E"/>
    <w:rsid w:val="005C1D45"/>
    <w:rsid w:val="005C1D56"/>
    <w:rsid w:val="005C20CC"/>
    <w:rsid w:val="005C348D"/>
    <w:rsid w:val="005C3AAA"/>
    <w:rsid w:val="005C464B"/>
    <w:rsid w:val="005C4793"/>
    <w:rsid w:val="005C4FE5"/>
    <w:rsid w:val="005C55AC"/>
    <w:rsid w:val="005C5BA4"/>
    <w:rsid w:val="005C5D45"/>
    <w:rsid w:val="005C5DAD"/>
    <w:rsid w:val="005C5EFC"/>
    <w:rsid w:val="005C6047"/>
    <w:rsid w:val="005C6442"/>
    <w:rsid w:val="005C66D6"/>
    <w:rsid w:val="005C694A"/>
    <w:rsid w:val="005C6C17"/>
    <w:rsid w:val="005C708D"/>
    <w:rsid w:val="005C709F"/>
    <w:rsid w:val="005C729C"/>
    <w:rsid w:val="005C7490"/>
    <w:rsid w:val="005C785D"/>
    <w:rsid w:val="005C786D"/>
    <w:rsid w:val="005C7D84"/>
    <w:rsid w:val="005D0231"/>
    <w:rsid w:val="005D050B"/>
    <w:rsid w:val="005D07DD"/>
    <w:rsid w:val="005D0E4E"/>
    <w:rsid w:val="005D22AE"/>
    <w:rsid w:val="005D278F"/>
    <w:rsid w:val="005D2B9B"/>
    <w:rsid w:val="005D2C50"/>
    <w:rsid w:val="005D31B5"/>
    <w:rsid w:val="005D3573"/>
    <w:rsid w:val="005D35C6"/>
    <w:rsid w:val="005D3918"/>
    <w:rsid w:val="005D4751"/>
    <w:rsid w:val="005D5882"/>
    <w:rsid w:val="005D5CB5"/>
    <w:rsid w:val="005D5E1A"/>
    <w:rsid w:val="005D61DD"/>
    <w:rsid w:val="005D6400"/>
    <w:rsid w:val="005D6966"/>
    <w:rsid w:val="005D6B64"/>
    <w:rsid w:val="005D6EBF"/>
    <w:rsid w:val="005D6F09"/>
    <w:rsid w:val="005D7BC0"/>
    <w:rsid w:val="005E0525"/>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545"/>
    <w:rsid w:val="005E58EB"/>
    <w:rsid w:val="005E5D64"/>
    <w:rsid w:val="005E64DB"/>
    <w:rsid w:val="005E6A18"/>
    <w:rsid w:val="005E6C3B"/>
    <w:rsid w:val="005E6DF4"/>
    <w:rsid w:val="005E739B"/>
    <w:rsid w:val="005E76F4"/>
    <w:rsid w:val="005E7A0C"/>
    <w:rsid w:val="005E7E56"/>
    <w:rsid w:val="005F0B38"/>
    <w:rsid w:val="005F0F6A"/>
    <w:rsid w:val="005F1B0C"/>
    <w:rsid w:val="005F1FB2"/>
    <w:rsid w:val="005F21D0"/>
    <w:rsid w:val="005F2338"/>
    <w:rsid w:val="005F2360"/>
    <w:rsid w:val="005F238E"/>
    <w:rsid w:val="005F28B6"/>
    <w:rsid w:val="005F2C8A"/>
    <w:rsid w:val="005F2E60"/>
    <w:rsid w:val="005F43DF"/>
    <w:rsid w:val="005F4A91"/>
    <w:rsid w:val="005F50C8"/>
    <w:rsid w:val="005F6326"/>
    <w:rsid w:val="005F6E92"/>
    <w:rsid w:val="005F74C1"/>
    <w:rsid w:val="005F7A20"/>
    <w:rsid w:val="00600421"/>
    <w:rsid w:val="006005CB"/>
    <w:rsid w:val="0060061C"/>
    <w:rsid w:val="00600D23"/>
    <w:rsid w:val="00601168"/>
    <w:rsid w:val="006019EC"/>
    <w:rsid w:val="00601E17"/>
    <w:rsid w:val="006025A1"/>
    <w:rsid w:val="00602F5F"/>
    <w:rsid w:val="00602F90"/>
    <w:rsid w:val="006034DB"/>
    <w:rsid w:val="006036A8"/>
    <w:rsid w:val="0060394D"/>
    <w:rsid w:val="00604569"/>
    <w:rsid w:val="006058F4"/>
    <w:rsid w:val="0060590F"/>
    <w:rsid w:val="00605F04"/>
    <w:rsid w:val="00605FBA"/>
    <w:rsid w:val="00606054"/>
    <w:rsid w:val="0060701F"/>
    <w:rsid w:val="00607309"/>
    <w:rsid w:val="00607DEA"/>
    <w:rsid w:val="00607EAF"/>
    <w:rsid w:val="00607EBA"/>
    <w:rsid w:val="00607EF3"/>
    <w:rsid w:val="00610716"/>
    <w:rsid w:val="00610A51"/>
    <w:rsid w:val="0061101D"/>
    <w:rsid w:val="00611527"/>
    <w:rsid w:val="00611FBA"/>
    <w:rsid w:val="00612945"/>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47D9"/>
    <w:rsid w:val="00624991"/>
    <w:rsid w:val="006263EE"/>
    <w:rsid w:val="00626C28"/>
    <w:rsid w:val="00626DAB"/>
    <w:rsid w:val="00626F5E"/>
    <w:rsid w:val="006274D6"/>
    <w:rsid w:val="00627586"/>
    <w:rsid w:val="0062780A"/>
    <w:rsid w:val="006303A4"/>
    <w:rsid w:val="006306D3"/>
    <w:rsid w:val="00631832"/>
    <w:rsid w:val="0063194E"/>
    <w:rsid w:val="00631FC4"/>
    <w:rsid w:val="00632691"/>
    <w:rsid w:val="00632768"/>
    <w:rsid w:val="006327E9"/>
    <w:rsid w:val="0063280D"/>
    <w:rsid w:val="00632835"/>
    <w:rsid w:val="00633390"/>
    <w:rsid w:val="00633FBD"/>
    <w:rsid w:val="00634493"/>
    <w:rsid w:val="00634CAD"/>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652"/>
    <w:rsid w:val="00645DCD"/>
    <w:rsid w:val="00645F82"/>
    <w:rsid w:val="006464A5"/>
    <w:rsid w:val="006469AC"/>
    <w:rsid w:val="006469EA"/>
    <w:rsid w:val="0064770F"/>
    <w:rsid w:val="00647B4D"/>
    <w:rsid w:val="00647D17"/>
    <w:rsid w:val="0065013F"/>
    <w:rsid w:val="006502ED"/>
    <w:rsid w:val="006504D0"/>
    <w:rsid w:val="00650FF4"/>
    <w:rsid w:val="006513BB"/>
    <w:rsid w:val="0065309F"/>
    <w:rsid w:val="0065315B"/>
    <w:rsid w:val="00653391"/>
    <w:rsid w:val="006544C8"/>
    <w:rsid w:val="00654B9F"/>
    <w:rsid w:val="00654CCB"/>
    <w:rsid w:val="0065588A"/>
    <w:rsid w:val="00656D36"/>
    <w:rsid w:val="006604C2"/>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75A"/>
    <w:rsid w:val="006661AD"/>
    <w:rsid w:val="0066656E"/>
    <w:rsid w:val="00666619"/>
    <w:rsid w:val="00666DF7"/>
    <w:rsid w:val="006670FC"/>
    <w:rsid w:val="00667D9A"/>
    <w:rsid w:val="00670104"/>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AA9"/>
    <w:rsid w:val="00675126"/>
    <w:rsid w:val="00675278"/>
    <w:rsid w:val="00675304"/>
    <w:rsid w:val="00675FED"/>
    <w:rsid w:val="00676126"/>
    <w:rsid w:val="006766F5"/>
    <w:rsid w:val="006767F5"/>
    <w:rsid w:val="00676A40"/>
    <w:rsid w:val="00677FE5"/>
    <w:rsid w:val="00680083"/>
    <w:rsid w:val="00680408"/>
    <w:rsid w:val="00681049"/>
    <w:rsid w:val="00681881"/>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BF7"/>
    <w:rsid w:val="00687001"/>
    <w:rsid w:val="00687584"/>
    <w:rsid w:val="006877E5"/>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099B"/>
    <w:rsid w:val="006A1007"/>
    <w:rsid w:val="006A1016"/>
    <w:rsid w:val="006A1549"/>
    <w:rsid w:val="006A1EDB"/>
    <w:rsid w:val="006A218C"/>
    <w:rsid w:val="006A25C5"/>
    <w:rsid w:val="006A2D4F"/>
    <w:rsid w:val="006A2F5A"/>
    <w:rsid w:val="006A2FA0"/>
    <w:rsid w:val="006A30AB"/>
    <w:rsid w:val="006A3130"/>
    <w:rsid w:val="006A3580"/>
    <w:rsid w:val="006A39B9"/>
    <w:rsid w:val="006A416C"/>
    <w:rsid w:val="006A42B5"/>
    <w:rsid w:val="006A440C"/>
    <w:rsid w:val="006A4431"/>
    <w:rsid w:val="006A49F9"/>
    <w:rsid w:val="006A4CFA"/>
    <w:rsid w:val="006A5275"/>
    <w:rsid w:val="006A539E"/>
    <w:rsid w:val="006A5582"/>
    <w:rsid w:val="006A5E15"/>
    <w:rsid w:val="006A6BD0"/>
    <w:rsid w:val="006A7A8A"/>
    <w:rsid w:val="006A7D7F"/>
    <w:rsid w:val="006B074A"/>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07D"/>
    <w:rsid w:val="006B6F7A"/>
    <w:rsid w:val="006B7301"/>
    <w:rsid w:val="006B7F1C"/>
    <w:rsid w:val="006C00DB"/>
    <w:rsid w:val="006C0528"/>
    <w:rsid w:val="006C05FF"/>
    <w:rsid w:val="006C06A2"/>
    <w:rsid w:val="006C18DA"/>
    <w:rsid w:val="006C1EE7"/>
    <w:rsid w:val="006C22C5"/>
    <w:rsid w:val="006C2725"/>
    <w:rsid w:val="006C2F23"/>
    <w:rsid w:val="006C3092"/>
    <w:rsid w:val="006C3905"/>
    <w:rsid w:val="006C4154"/>
    <w:rsid w:val="006C41B3"/>
    <w:rsid w:val="006C4418"/>
    <w:rsid w:val="006C4ED9"/>
    <w:rsid w:val="006C5733"/>
    <w:rsid w:val="006C5914"/>
    <w:rsid w:val="006C5DC5"/>
    <w:rsid w:val="006C71E3"/>
    <w:rsid w:val="006C754A"/>
    <w:rsid w:val="006D01F8"/>
    <w:rsid w:val="006D1D53"/>
    <w:rsid w:val="006D205A"/>
    <w:rsid w:val="006D21C8"/>
    <w:rsid w:val="006D2794"/>
    <w:rsid w:val="006D2B15"/>
    <w:rsid w:val="006D3242"/>
    <w:rsid w:val="006D332B"/>
    <w:rsid w:val="006D33EE"/>
    <w:rsid w:val="006D36A2"/>
    <w:rsid w:val="006D4E88"/>
    <w:rsid w:val="006D59F1"/>
    <w:rsid w:val="006D67E6"/>
    <w:rsid w:val="006D6FCB"/>
    <w:rsid w:val="006D776D"/>
    <w:rsid w:val="006E01CA"/>
    <w:rsid w:val="006E0E79"/>
    <w:rsid w:val="006E117B"/>
    <w:rsid w:val="006E1952"/>
    <w:rsid w:val="006E19BC"/>
    <w:rsid w:val="006E22E3"/>
    <w:rsid w:val="006E25A4"/>
    <w:rsid w:val="006E2D73"/>
    <w:rsid w:val="006E5C41"/>
    <w:rsid w:val="006E68DA"/>
    <w:rsid w:val="006E7B0B"/>
    <w:rsid w:val="006E7CA8"/>
    <w:rsid w:val="006F039F"/>
    <w:rsid w:val="006F05E3"/>
    <w:rsid w:val="006F1153"/>
    <w:rsid w:val="006F2B57"/>
    <w:rsid w:val="006F3B0D"/>
    <w:rsid w:val="006F4316"/>
    <w:rsid w:val="006F4A76"/>
    <w:rsid w:val="006F5418"/>
    <w:rsid w:val="006F5B02"/>
    <w:rsid w:val="006F5B5A"/>
    <w:rsid w:val="006F5B79"/>
    <w:rsid w:val="006F6786"/>
    <w:rsid w:val="006F6E92"/>
    <w:rsid w:val="006F75A6"/>
    <w:rsid w:val="007008DE"/>
    <w:rsid w:val="00701384"/>
    <w:rsid w:val="00701542"/>
    <w:rsid w:val="00702410"/>
    <w:rsid w:val="00702718"/>
    <w:rsid w:val="00702BE8"/>
    <w:rsid w:val="00703127"/>
    <w:rsid w:val="00703F4B"/>
    <w:rsid w:val="007041ED"/>
    <w:rsid w:val="007046F9"/>
    <w:rsid w:val="00704A9D"/>
    <w:rsid w:val="007050BA"/>
    <w:rsid w:val="007050E6"/>
    <w:rsid w:val="00705197"/>
    <w:rsid w:val="00705750"/>
    <w:rsid w:val="00705AD5"/>
    <w:rsid w:val="0070623B"/>
    <w:rsid w:val="00706ACD"/>
    <w:rsid w:val="00706BE0"/>
    <w:rsid w:val="00707164"/>
    <w:rsid w:val="00707A5D"/>
    <w:rsid w:val="00707C17"/>
    <w:rsid w:val="00707E44"/>
    <w:rsid w:val="00707F1C"/>
    <w:rsid w:val="00707F66"/>
    <w:rsid w:val="0071041A"/>
    <w:rsid w:val="0071048A"/>
    <w:rsid w:val="007105E0"/>
    <w:rsid w:val="00710CA0"/>
    <w:rsid w:val="00710D56"/>
    <w:rsid w:val="00710F25"/>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857"/>
    <w:rsid w:val="00717402"/>
    <w:rsid w:val="007176C6"/>
    <w:rsid w:val="00717A0A"/>
    <w:rsid w:val="00720B19"/>
    <w:rsid w:val="00720CF7"/>
    <w:rsid w:val="00721C9F"/>
    <w:rsid w:val="00721E5D"/>
    <w:rsid w:val="007220D3"/>
    <w:rsid w:val="007229E5"/>
    <w:rsid w:val="00722A38"/>
    <w:rsid w:val="00722CE7"/>
    <w:rsid w:val="00722D1D"/>
    <w:rsid w:val="00723988"/>
    <w:rsid w:val="00723BC7"/>
    <w:rsid w:val="00723CF8"/>
    <w:rsid w:val="00723E2B"/>
    <w:rsid w:val="0072405E"/>
    <w:rsid w:val="00724356"/>
    <w:rsid w:val="007253EA"/>
    <w:rsid w:val="00725B5E"/>
    <w:rsid w:val="00725CA0"/>
    <w:rsid w:val="00726086"/>
    <w:rsid w:val="007261C1"/>
    <w:rsid w:val="0072647E"/>
    <w:rsid w:val="007265D4"/>
    <w:rsid w:val="00726753"/>
    <w:rsid w:val="007267BB"/>
    <w:rsid w:val="007279FE"/>
    <w:rsid w:val="00727B13"/>
    <w:rsid w:val="0073017D"/>
    <w:rsid w:val="007305E2"/>
    <w:rsid w:val="00730D7D"/>
    <w:rsid w:val="00730EB1"/>
    <w:rsid w:val="007311E3"/>
    <w:rsid w:val="00731343"/>
    <w:rsid w:val="00731895"/>
    <w:rsid w:val="007319DB"/>
    <w:rsid w:val="00731E5E"/>
    <w:rsid w:val="00732091"/>
    <w:rsid w:val="0073317A"/>
    <w:rsid w:val="0073460F"/>
    <w:rsid w:val="007354B8"/>
    <w:rsid w:val="00735A5A"/>
    <w:rsid w:val="007362E7"/>
    <w:rsid w:val="00736563"/>
    <w:rsid w:val="007369CD"/>
    <w:rsid w:val="00736D35"/>
    <w:rsid w:val="00737333"/>
    <w:rsid w:val="00737384"/>
    <w:rsid w:val="007377EA"/>
    <w:rsid w:val="007406DD"/>
    <w:rsid w:val="007415B0"/>
    <w:rsid w:val="00741FED"/>
    <w:rsid w:val="00742451"/>
    <w:rsid w:val="0074275B"/>
    <w:rsid w:val="007429A9"/>
    <w:rsid w:val="00742E5E"/>
    <w:rsid w:val="007431A2"/>
    <w:rsid w:val="00743A7F"/>
    <w:rsid w:val="00743F0C"/>
    <w:rsid w:val="00744415"/>
    <w:rsid w:val="007444A7"/>
    <w:rsid w:val="007448A5"/>
    <w:rsid w:val="007448D9"/>
    <w:rsid w:val="00744BF0"/>
    <w:rsid w:val="00744D78"/>
    <w:rsid w:val="00744F60"/>
    <w:rsid w:val="00745873"/>
    <w:rsid w:val="00746154"/>
    <w:rsid w:val="007468F4"/>
    <w:rsid w:val="00746B53"/>
    <w:rsid w:val="00746F42"/>
    <w:rsid w:val="007476F1"/>
    <w:rsid w:val="00747753"/>
    <w:rsid w:val="00747FA7"/>
    <w:rsid w:val="007509D5"/>
    <w:rsid w:val="00750D5C"/>
    <w:rsid w:val="00751664"/>
    <w:rsid w:val="00751702"/>
    <w:rsid w:val="00751A05"/>
    <w:rsid w:val="0075222E"/>
    <w:rsid w:val="007525E1"/>
    <w:rsid w:val="00752631"/>
    <w:rsid w:val="00752A2D"/>
    <w:rsid w:val="00752FC3"/>
    <w:rsid w:val="007536C4"/>
    <w:rsid w:val="0075398E"/>
    <w:rsid w:val="00753A64"/>
    <w:rsid w:val="00754526"/>
    <w:rsid w:val="007545D3"/>
    <w:rsid w:val="007546AA"/>
    <w:rsid w:val="0075544F"/>
    <w:rsid w:val="0075569B"/>
    <w:rsid w:val="00755806"/>
    <w:rsid w:val="00755F96"/>
    <w:rsid w:val="0075635C"/>
    <w:rsid w:val="00756A4C"/>
    <w:rsid w:val="00756FF1"/>
    <w:rsid w:val="00757484"/>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58A2"/>
    <w:rsid w:val="007658D7"/>
    <w:rsid w:val="00765BC2"/>
    <w:rsid w:val="00765F48"/>
    <w:rsid w:val="007660E5"/>
    <w:rsid w:val="00767924"/>
    <w:rsid w:val="00767B2F"/>
    <w:rsid w:val="00770169"/>
    <w:rsid w:val="00770392"/>
    <w:rsid w:val="007706B7"/>
    <w:rsid w:val="007712AC"/>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539"/>
    <w:rsid w:val="007769A1"/>
    <w:rsid w:val="00776E1E"/>
    <w:rsid w:val="00777502"/>
    <w:rsid w:val="00777BD0"/>
    <w:rsid w:val="00780251"/>
    <w:rsid w:val="0078088C"/>
    <w:rsid w:val="00781590"/>
    <w:rsid w:val="00781E6F"/>
    <w:rsid w:val="00781F8D"/>
    <w:rsid w:val="007820E1"/>
    <w:rsid w:val="007839C0"/>
    <w:rsid w:val="00784126"/>
    <w:rsid w:val="007841A9"/>
    <w:rsid w:val="00784215"/>
    <w:rsid w:val="00784FD6"/>
    <w:rsid w:val="0078513B"/>
    <w:rsid w:val="007858C0"/>
    <w:rsid w:val="007865B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20B"/>
    <w:rsid w:val="007964A4"/>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4110"/>
    <w:rsid w:val="007B48B6"/>
    <w:rsid w:val="007B5115"/>
    <w:rsid w:val="007B52AD"/>
    <w:rsid w:val="007B52D0"/>
    <w:rsid w:val="007B720E"/>
    <w:rsid w:val="007B7B8E"/>
    <w:rsid w:val="007B7BE4"/>
    <w:rsid w:val="007B7CA8"/>
    <w:rsid w:val="007B7D2E"/>
    <w:rsid w:val="007C0155"/>
    <w:rsid w:val="007C121E"/>
    <w:rsid w:val="007C1315"/>
    <w:rsid w:val="007C1623"/>
    <w:rsid w:val="007C1771"/>
    <w:rsid w:val="007C181D"/>
    <w:rsid w:val="007C1EAE"/>
    <w:rsid w:val="007C1EEC"/>
    <w:rsid w:val="007C2175"/>
    <w:rsid w:val="007C273C"/>
    <w:rsid w:val="007C27C5"/>
    <w:rsid w:val="007C2899"/>
    <w:rsid w:val="007C2BDD"/>
    <w:rsid w:val="007C3530"/>
    <w:rsid w:val="007C3648"/>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A30"/>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1C50"/>
    <w:rsid w:val="007F27C2"/>
    <w:rsid w:val="007F2844"/>
    <w:rsid w:val="007F2A0E"/>
    <w:rsid w:val="007F2A64"/>
    <w:rsid w:val="007F3393"/>
    <w:rsid w:val="007F3DFD"/>
    <w:rsid w:val="007F41A5"/>
    <w:rsid w:val="007F4378"/>
    <w:rsid w:val="007F4BE6"/>
    <w:rsid w:val="007F4CAD"/>
    <w:rsid w:val="007F5096"/>
    <w:rsid w:val="007F511D"/>
    <w:rsid w:val="007F5573"/>
    <w:rsid w:val="007F62AB"/>
    <w:rsid w:val="007F6640"/>
    <w:rsid w:val="007F6834"/>
    <w:rsid w:val="007F6AED"/>
    <w:rsid w:val="007F6D9D"/>
    <w:rsid w:val="007F70A2"/>
    <w:rsid w:val="007F7119"/>
    <w:rsid w:val="008001CB"/>
    <w:rsid w:val="008007E9"/>
    <w:rsid w:val="00800A28"/>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E8B"/>
    <w:rsid w:val="008110D8"/>
    <w:rsid w:val="00811131"/>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0A8"/>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067"/>
    <w:rsid w:val="008315ED"/>
    <w:rsid w:val="00831B7C"/>
    <w:rsid w:val="0083210A"/>
    <w:rsid w:val="0083246A"/>
    <w:rsid w:val="00832B62"/>
    <w:rsid w:val="00833042"/>
    <w:rsid w:val="00833053"/>
    <w:rsid w:val="008334AC"/>
    <w:rsid w:val="00834210"/>
    <w:rsid w:val="00834266"/>
    <w:rsid w:val="00834B4C"/>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3EC9"/>
    <w:rsid w:val="00854285"/>
    <w:rsid w:val="00854FD5"/>
    <w:rsid w:val="00855702"/>
    <w:rsid w:val="00855E15"/>
    <w:rsid w:val="008578FD"/>
    <w:rsid w:val="00860026"/>
    <w:rsid w:val="00860120"/>
    <w:rsid w:val="00861093"/>
    <w:rsid w:val="008627D6"/>
    <w:rsid w:val="00862CE0"/>
    <w:rsid w:val="00862E30"/>
    <w:rsid w:val="00862ED8"/>
    <w:rsid w:val="008637FE"/>
    <w:rsid w:val="0086420F"/>
    <w:rsid w:val="008651B8"/>
    <w:rsid w:val="00865414"/>
    <w:rsid w:val="0086567B"/>
    <w:rsid w:val="00866F9A"/>
    <w:rsid w:val="00867361"/>
    <w:rsid w:val="00867594"/>
    <w:rsid w:val="00867732"/>
    <w:rsid w:val="0086790C"/>
    <w:rsid w:val="00867E16"/>
    <w:rsid w:val="008702BF"/>
    <w:rsid w:val="008704E8"/>
    <w:rsid w:val="00870515"/>
    <w:rsid w:val="00870F28"/>
    <w:rsid w:val="00871380"/>
    <w:rsid w:val="00871C67"/>
    <w:rsid w:val="00872062"/>
    <w:rsid w:val="0087253A"/>
    <w:rsid w:val="0087258D"/>
    <w:rsid w:val="00872692"/>
    <w:rsid w:val="008728CE"/>
    <w:rsid w:val="00873339"/>
    <w:rsid w:val="0087361E"/>
    <w:rsid w:val="0087438B"/>
    <w:rsid w:val="00874ED3"/>
    <w:rsid w:val="00875196"/>
    <w:rsid w:val="008751D0"/>
    <w:rsid w:val="00875C5F"/>
    <w:rsid w:val="00875DD2"/>
    <w:rsid w:val="00876369"/>
    <w:rsid w:val="00876D02"/>
    <w:rsid w:val="008772A4"/>
    <w:rsid w:val="008778FC"/>
    <w:rsid w:val="00880B8D"/>
    <w:rsid w:val="00880F5E"/>
    <w:rsid w:val="008811A8"/>
    <w:rsid w:val="0088148A"/>
    <w:rsid w:val="00881E41"/>
    <w:rsid w:val="00882346"/>
    <w:rsid w:val="0088250C"/>
    <w:rsid w:val="00882926"/>
    <w:rsid w:val="00882AD6"/>
    <w:rsid w:val="008839BE"/>
    <w:rsid w:val="00884BBE"/>
    <w:rsid w:val="00884D65"/>
    <w:rsid w:val="008858F2"/>
    <w:rsid w:val="00886263"/>
    <w:rsid w:val="0088630C"/>
    <w:rsid w:val="00886592"/>
    <w:rsid w:val="00886F44"/>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708"/>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6CB"/>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9E6"/>
    <w:rsid w:val="008B4AC4"/>
    <w:rsid w:val="008B4E28"/>
    <w:rsid w:val="008B56C0"/>
    <w:rsid w:val="008B60CE"/>
    <w:rsid w:val="008B6260"/>
    <w:rsid w:val="008B64F9"/>
    <w:rsid w:val="008B6542"/>
    <w:rsid w:val="008B6586"/>
    <w:rsid w:val="008B7AD7"/>
    <w:rsid w:val="008C043A"/>
    <w:rsid w:val="008C0A89"/>
    <w:rsid w:val="008C1509"/>
    <w:rsid w:val="008C264D"/>
    <w:rsid w:val="008C268C"/>
    <w:rsid w:val="008C26B0"/>
    <w:rsid w:val="008C34B4"/>
    <w:rsid w:val="008C3DCC"/>
    <w:rsid w:val="008C405E"/>
    <w:rsid w:val="008C419B"/>
    <w:rsid w:val="008C4554"/>
    <w:rsid w:val="008C4668"/>
    <w:rsid w:val="008C4E7E"/>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1F95"/>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43E9"/>
    <w:rsid w:val="008F4D90"/>
    <w:rsid w:val="008F5B55"/>
    <w:rsid w:val="008F5FA9"/>
    <w:rsid w:val="008F632B"/>
    <w:rsid w:val="008F6948"/>
    <w:rsid w:val="008F73FA"/>
    <w:rsid w:val="008F7626"/>
    <w:rsid w:val="008F76EC"/>
    <w:rsid w:val="008F78C3"/>
    <w:rsid w:val="009003B7"/>
    <w:rsid w:val="00900B51"/>
    <w:rsid w:val="00900BBB"/>
    <w:rsid w:val="00901D6D"/>
    <w:rsid w:val="00901DAC"/>
    <w:rsid w:val="00902A70"/>
    <w:rsid w:val="00903007"/>
    <w:rsid w:val="0090307B"/>
    <w:rsid w:val="0090396D"/>
    <w:rsid w:val="0090399A"/>
    <w:rsid w:val="009041B3"/>
    <w:rsid w:val="0090528F"/>
    <w:rsid w:val="0090596C"/>
    <w:rsid w:val="00906088"/>
    <w:rsid w:val="00906696"/>
    <w:rsid w:val="00906919"/>
    <w:rsid w:val="00906B42"/>
    <w:rsid w:val="00907AB2"/>
    <w:rsid w:val="009109D0"/>
    <w:rsid w:val="00911206"/>
    <w:rsid w:val="009116C6"/>
    <w:rsid w:val="00911738"/>
    <w:rsid w:val="009117E5"/>
    <w:rsid w:val="00911B0E"/>
    <w:rsid w:val="00911D6F"/>
    <w:rsid w:val="0091223A"/>
    <w:rsid w:val="00912347"/>
    <w:rsid w:val="00912624"/>
    <w:rsid w:val="00913F72"/>
    <w:rsid w:val="00914014"/>
    <w:rsid w:val="009142BA"/>
    <w:rsid w:val="009146A0"/>
    <w:rsid w:val="0091475A"/>
    <w:rsid w:val="00914B3C"/>
    <w:rsid w:val="00914C47"/>
    <w:rsid w:val="00915969"/>
    <w:rsid w:val="00915B5D"/>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6588"/>
    <w:rsid w:val="00937FD9"/>
    <w:rsid w:val="00940041"/>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AC3"/>
    <w:rsid w:val="00946E3C"/>
    <w:rsid w:val="00946ED2"/>
    <w:rsid w:val="009471BB"/>
    <w:rsid w:val="0094737B"/>
    <w:rsid w:val="0095054B"/>
    <w:rsid w:val="00950B83"/>
    <w:rsid w:val="00951E4E"/>
    <w:rsid w:val="009525F7"/>
    <w:rsid w:val="009536E1"/>
    <w:rsid w:val="0095394E"/>
    <w:rsid w:val="00953D66"/>
    <w:rsid w:val="00953D7B"/>
    <w:rsid w:val="009543E8"/>
    <w:rsid w:val="00954797"/>
    <w:rsid w:val="00954A2C"/>
    <w:rsid w:val="00956569"/>
    <w:rsid w:val="00956C7E"/>
    <w:rsid w:val="00956DEC"/>
    <w:rsid w:val="00957A5E"/>
    <w:rsid w:val="00957B21"/>
    <w:rsid w:val="0096027B"/>
    <w:rsid w:val="00960881"/>
    <w:rsid w:val="00962566"/>
    <w:rsid w:val="009625A8"/>
    <w:rsid w:val="00962739"/>
    <w:rsid w:val="009635EC"/>
    <w:rsid w:val="009635FE"/>
    <w:rsid w:val="00963AE9"/>
    <w:rsid w:val="00963FC8"/>
    <w:rsid w:val="00964443"/>
    <w:rsid w:val="00964760"/>
    <w:rsid w:val="00965864"/>
    <w:rsid w:val="009668E0"/>
    <w:rsid w:val="00966C7B"/>
    <w:rsid w:val="00967A4E"/>
    <w:rsid w:val="0097144B"/>
    <w:rsid w:val="009719AE"/>
    <w:rsid w:val="00971DC4"/>
    <w:rsid w:val="009720E4"/>
    <w:rsid w:val="009722C3"/>
    <w:rsid w:val="009724A6"/>
    <w:rsid w:val="00972A0B"/>
    <w:rsid w:val="00973102"/>
    <w:rsid w:val="00973108"/>
    <w:rsid w:val="0097310C"/>
    <w:rsid w:val="00973418"/>
    <w:rsid w:val="009742EA"/>
    <w:rsid w:val="009746FD"/>
    <w:rsid w:val="00974A89"/>
    <w:rsid w:val="00974FCC"/>
    <w:rsid w:val="0097508E"/>
    <w:rsid w:val="00975574"/>
    <w:rsid w:val="009756D9"/>
    <w:rsid w:val="009758A1"/>
    <w:rsid w:val="00976026"/>
    <w:rsid w:val="009766CF"/>
    <w:rsid w:val="00976967"/>
    <w:rsid w:val="0097774F"/>
    <w:rsid w:val="00977770"/>
    <w:rsid w:val="00977DA2"/>
    <w:rsid w:val="00980519"/>
    <w:rsid w:val="00980642"/>
    <w:rsid w:val="00981550"/>
    <w:rsid w:val="009821D8"/>
    <w:rsid w:val="00982A6E"/>
    <w:rsid w:val="00982A9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0306"/>
    <w:rsid w:val="00990D60"/>
    <w:rsid w:val="00991786"/>
    <w:rsid w:val="009917F3"/>
    <w:rsid w:val="00991CC2"/>
    <w:rsid w:val="00992240"/>
    <w:rsid w:val="00992306"/>
    <w:rsid w:val="00992DBD"/>
    <w:rsid w:val="00992E59"/>
    <w:rsid w:val="00992EC2"/>
    <w:rsid w:val="009934C5"/>
    <w:rsid w:val="009935C6"/>
    <w:rsid w:val="0099482C"/>
    <w:rsid w:val="009948A1"/>
    <w:rsid w:val="00994BEF"/>
    <w:rsid w:val="00994F06"/>
    <w:rsid w:val="009954BE"/>
    <w:rsid w:val="0099581C"/>
    <w:rsid w:val="00995A4B"/>
    <w:rsid w:val="00995ACE"/>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50E7"/>
    <w:rsid w:val="009A513E"/>
    <w:rsid w:val="009A6504"/>
    <w:rsid w:val="009A7388"/>
    <w:rsid w:val="009A763C"/>
    <w:rsid w:val="009B0003"/>
    <w:rsid w:val="009B01C1"/>
    <w:rsid w:val="009B032C"/>
    <w:rsid w:val="009B0348"/>
    <w:rsid w:val="009B0F0D"/>
    <w:rsid w:val="009B113D"/>
    <w:rsid w:val="009B1539"/>
    <w:rsid w:val="009B1F92"/>
    <w:rsid w:val="009B24CE"/>
    <w:rsid w:val="009B264D"/>
    <w:rsid w:val="009B3D5C"/>
    <w:rsid w:val="009B44AA"/>
    <w:rsid w:val="009B4A43"/>
    <w:rsid w:val="009B4A45"/>
    <w:rsid w:val="009B4A70"/>
    <w:rsid w:val="009B533B"/>
    <w:rsid w:val="009B5BBF"/>
    <w:rsid w:val="009B5D2F"/>
    <w:rsid w:val="009B5D9F"/>
    <w:rsid w:val="009B7899"/>
    <w:rsid w:val="009B79A6"/>
    <w:rsid w:val="009B7AAF"/>
    <w:rsid w:val="009C1088"/>
    <w:rsid w:val="009C1103"/>
    <w:rsid w:val="009C14D5"/>
    <w:rsid w:val="009C1634"/>
    <w:rsid w:val="009C1A87"/>
    <w:rsid w:val="009C2595"/>
    <w:rsid w:val="009C287A"/>
    <w:rsid w:val="009C2F92"/>
    <w:rsid w:val="009C359E"/>
    <w:rsid w:val="009C390A"/>
    <w:rsid w:val="009C3A49"/>
    <w:rsid w:val="009C4CE2"/>
    <w:rsid w:val="009C5E74"/>
    <w:rsid w:val="009C6856"/>
    <w:rsid w:val="009C730F"/>
    <w:rsid w:val="009C7883"/>
    <w:rsid w:val="009D04EF"/>
    <w:rsid w:val="009D15B4"/>
    <w:rsid w:val="009D1836"/>
    <w:rsid w:val="009D185E"/>
    <w:rsid w:val="009D2655"/>
    <w:rsid w:val="009D2D15"/>
    <w:rsid w:val="009D2DA1"/>
    <w:rsid w:val="009D3341"/>
    <w:rsid w:val="009D3470"/>
    <w:rsid w:val="009D39FA"/>
    <w:rsid w:val="009D3C8B"/>
    <w:rsid w:val="009D3CFE"/>
    <w:rsid w:val="009D3D1B"/>
    <w:rsid w:val="009D3F9C"/>
    <w:rsid w:val="009D3FCF"/>
    <w:rsid w:val="009D40C5"/>
    <w:rsid w:val="009D48BB"/>
    <w:rsid w:val="009D5546"/>
    <w:rsid w:val="009D5859"/>
    <w:rsid w:val="009D58F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885"/>
    <w:rsid w:val="009E6E03"/>
    <w:rsid w:val="009E727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3F3"/>
    <w:rsid w:val="00A00A2E"/>
    <w:rsid w:val="00A00C85"/>
    <w:rsid w:val="00A00D1F"/>
    <w:rsid w:val="00A013DC"/>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4223"/>
    <w:rsid w:val="00A14989"/>
    <w:rsid w:val="00A14AE3"/>
    <w:rsid w:val="00A14B0A"/>
    <w:rsid w:val="00A14ECD"/>
    <w:rsid w:val="00A1529F"/>
    <w:rsid w:val="00A15589"/>
    <w:rsid w:val="00A15FB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3D67"/>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AF6"/>
    <w:rsid w:val="00A47C0A"/>
    <w:rsid w:val="00A50012"/>
    <w:rsid w:val="00A5139A"/>
    <w:rsid w:val="00A51C43"/>
    <w:rsid w:val="00A51D2D"/>
    <w:rsid w:val="00A51F2C"/>
    <w:rsid w:val="00A5201D"/>
    <w:rsid w:val="00A52AA6"/>
    <w:rsid w:val="00A52AED"/>
    <w:rsid w:val="00A53C86"/>
    <w:rsid w:val="00A540D5"/>
    <w:rsid w:val="00A543B6"/>
    <w:rsid w:val="00A54BF0"/>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43"/>
    <w:rsid w:val="00A671CB"/>
    <w:rsid w:val="00A67B0C"/>
    <w:rsid w:val="00A700B9"/>
    <w:rsid w:val="00A705AB"/>
    <w:rsid w:val="00A70728"/>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8E"/>
    <w:rsid w:val="00A762E2"/>
    <w:rsid w:val="00A76AC5"/>
    <w:rsid w:val="00A7705B"/>
    <w:rsid w:val="00A779AF"/>
    <w:rsid w:val="00A804A4"/>
    <w:rsid w:val="00A804B7"/>
    <w:rsid w:val="00A80E45"/>
    <w:rsid w:val="00A80F2C"/>
    <w:rsid w:val="00A81372"/>
    <w:rsid w:val="00A8157E"/>
    <w:rsid w:val="00A81EBF"/>
    <w:rsid w:val="00A81F49"/>
    <w:rsid w:val="00A82149"/>
    <w:rsid w:val="00A82431"/>
    <w:rsid w:val="00A82605"/>
    <w:rsid w:val="00A831C8"/>
    <w:rsid w:val="00A8340E"/>
    <w:rsid w:val="00A83C39"/>
    <w:rsid w:val="00A84289"/>
    <w:rsid w:val="00A8486C"/>
    <w:rsid w:val="00A84FD0"/>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5890"/>
    <w:rsid w:val="00A962A5"/>
    <w:rsid w:val="00A9659F"/>
    <w:rsid w:val="00A96B8B"/>
    <w:rsid w:val="00A97D84"/>
    <w:rsid w:val="00A97DA8"/>
    <w:rsid w:val="00AA0333"/>
    <w:rsid w:val="00AA060B"/>
    <w:rsid w:val="00AA1408"/>
    <w:rsid w:val="00AA1625"/>
    <w:rsid w:val="00AA1B4E"/>
    <w:rsid w:val="00AA1B91"/>
    <w:rsid w:val="00AA1E35"/>
    <w:rsid w:val="00AA227A"/>
    <w:rsid w:val="00AA28FF"/>
    <w:rsid w:val="00AA3849"/>
    <w:rsid w:val="00AA42FF"/>
    <w:rsid w:val="00AA4C59"/>
    <w:rsid w:val="00AA557C"/>
    <w:rsid w:val="00AA5F05"/>
    <w:rsid w:val="00AA63C4"/>
    <w:rsid w:val="00AA68B2"/>
    <w:rsid w:val="00AA68E3"/>
    <w:rsid w:val="00AA76AD"/>
    <w:rsid w:val="00AA7893"/>
    <w:rsid w:val="00AA7B1B"/>
    <w:rsid w:val="00AB01DB"/>
    <w:rsid w:val="00AB0E84"/>
    <w:rsid w:val="00AB128F"/>
    <w:rsid w:val="00AB17D5"/>
    <w:rsid w:val="00AB1E54"/>
    <w:rsid w:val="00AB1FC9"/>
    <w:rsid w:val="00AB31D7"/>
    <w:rsid w:val="00AB3318"/>
    <w:rsid w:val="00AB3B18"/>
    <w:rsid w:val="00AB3C40"/>
    <w:rsid w:val="00AB4180"/>
    <w:rsid w:val="00AB4325"/>
    <w:rsid w:val="00AB45E5"/>
    <w:rsid w:val="00AB4893"/>
    <w:rsid w:val="00AB4F9D"/>
    <w:rsid w:val="00AB52ED"/>
    <w:rsid w:val="00AB548D"/>
    <w:rsid w:val="00AB5572"/>
    <w:rsid w:val="00AB559B"/>
    <w:rsid w:val="00AB5761"/>
    <w:rsid w:val="00AB6424"/>
    <w:rsid w:val="00AB655F"/>
    <w:rsid w:val="00AB69C4"/>
    <w:rsid w:val="00AB7315"/>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C02"/>
    <w:rsid w:val="00AD0D83"/>
    <w:rsid w:val="00AD0ED5"/>
    <w:rsid w:val="00AD0F2E"/>
    <w:rsid w:val="00AD0F45"/>
    <w:rsid w:val="00AD2FDE"/>
    <w:rsid w:val="00AD3204"/>
    <w:rsid w:val="00AD3F8F"/>
    <w:rsid w:val="00AD41E7"/>
    <w:rsid w:val="00AD4848"/>
    <w:rsid w:val="00AD4EB8"/>
    <w:rsid w:val="00AD5084"/>
    <w:rsid w:val="00AD5A90"/>
    <w:rsid w:val="00AD5AAC"/>
    <w:rsid w:val="00AD6013"/>
    <w:rsid w:val="00AD647E"/>
    <w:rsid w:val="00AD652C"/>
    <w:rsid w:val="00AD73C6"/>
    <w:rsid w:val="00AE0062"/>
    <w:rsid w:val="00AE030D"/>
    <w:rsid w:val="00AE03E7"/>
    <w:rsid w:val="00AE0C86"/>
    <w:rsid w:val="00AE0CD4"/>
    <w:rsid w:val="00AE16D7"/>
    <w:rsid w:val="00AE19D6"/>
    <w:rsid w:val="00AE1D8D"/>
    <w:rsid w:val="00AE2790"/>
    <w:rsid w:val="00AE295B"/>
    <w:rsid w:val="00AE3ED4"/>
    <w:rsid w:val="00AE4249"/>
    <w:rsid w:val="00AE4521"/>
    <w:rsid w:val="00AE4B43"/>
    <w:rsid w:val="00AE4B55"/>
    <w:rsid w:val="00AE4FFA"/>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1F9C"/>
    <w:rsid w:val="00B021E1"/>
    <w:rsid w:val="00B0313B"/>
    <w:rsid w:val="00B042C3"/>
    <w:rsid w:val="00B0436B"/>
    <w:rsid w:val="00B05043"/>
    <w:rsid w:val="00B066C4"/>
    <w:rsid w:val="00B06844"/>
    <w:rsid w:val="00B07308"/>
    <w:rsid w:val="00B07623"/>
    <w:rsid w:val="00B07E2B"/>
    <w:rsid w:val="00B1037D"/>
    <w:rsid w:val="00B10BDE"/>
    <w:rsid w:val="00B11B9F"/>
    <w:rsid w:val="00B11CFF"/>
    <w:rsid w:val="00B125E4"/>
    <w:rsid w:val="00B12BBA"/>
    <w:rsid w:val="00B13C38"/>
    <w:rsid w:val="00B13EEC"/>
    <w:rsid w:val="00B141FA"/>
    <w:rsid w:val="00B1426A"/>
    <w:rsid w:val="00B14972"/>
    <w:rsid w:val="00B14A0F"/>
    <w:rsid w:val="00B156C1"/>
    <w:rsid w:val="00B159B1"/>
    <w:rsid w:val="00B161D8"/>
    <w:rsid w:val="00B162D4"/>
    <w:rsid w:val="00B167F3"/>
    <w:rsid w:val="00B16BC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89B"/>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3A8"/>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5D0B"/>
    <w:rsid w:val="00B36233"/>
    <w:rsid w:val="00B369AA"/>
    <w:rsid w:val="00B3722A"/>
    <w:rsid w:val="00B377CB"/>
    <w:rsid w:val="00B40424"/>
    <w:rsid w:val="00B40EDC"/>
    <w:rsid w:val="00B41142"/>
    <w:rsid w:val="00B414BC"/>
    <w:rsid w:val="00B41BDC"/>
    <w:rsid w:val="00B41CFD"/>
    <w:rsid w:val="00B4278D"/>
    <w:rsid w:val="00B42EA9"/>
    <w:rsid w:val="00B4377C"/>
    <w:rsid w:val="00B43AA7"/>
    <w:rsid w:val="00B4416B"/>
    <w:rsid w:val="00B44652"/>
    <w:rsid w:val="00B44916"/>
    <w:rsid w:val="00B458A3"/>
    <w:rsid w:val="00B45F85"/>
    <w:rsid w:val="00B466C1"/>
    <w:rsid w:val="00B469BD"/>
    <w:rsid w:val="00B479DC"/>
    <w:rsid w:val="00B47A6C"/>
    <w:rsid w:val="00B500BB"/>
    <w:rsid w:val="00B502E8"/>
    <w:rsid w:val="00B50309"/>
    <w:rsid w:val="00B50619"/>
    <w:rsid w:val="00B508BD"/>
    <w:rsid w:val="00B51054"/>
    <w:rsid w:val="00B510DF"/>
    <w:rsid w:val="00B5164E"/>
    <w:rsid w:val="00B51BD5"/>
    <w:rsid w:val="00B5275C"/>
    <w:rsid w:val="00B53536"/>
    <w:rsid w:val="00B535C7"/>
    <w:rsid w:val="00B539A6"/>
    <w:rsid w:val="00B540B1"/>
    <w:rsid w:val="00B54404"/>
    <w:rsid w:val="00B5540C"/>
    <w:rsid w:val="00B555F4"/>
    <w:rsid w:val="00B55780"/>
    <w:rsid w:val="00B55B66"/>
    <w:rsid w:val="00B5679E"/>
    <w:rsid w:val="00B56F39"/>
    <w:rsid w:val="00B5705D"/>
    <w:rsid w:val="00B5718C"/>
    <w:rsid w:val="00B573B1"/>
    <w:rsid w:val="00B57D38"/>
    <w:rsid w:val="00B60054"/>
    <w:rsid w:val="00B60123"/>
    <w:rsid w:val="00B606F7"/>
    <w:rsid w:val="00B60906"/>
    <w:rsid w:val="00B60A74"/>
    <w:rsid w:val="00B60B7B"/>
    <w:rsid w:val="00B61961"/>
    <w:rsid w:val="00B61A4A"/>
    <w:rsid w:val="00B61DEC"/>
    <w:rsid w:val="00B62358"/>
    <w:rsid w:val="00B627BD"/>
    <w:rsid w:val="00B633BE"/>
    <w:rsid w:val="00B63490"/>
    <w:rsid w:val="00B63B02"/>
    <w:rsid w:val="00B644F4"/>
    <w:rsid w:val="00B65858"/>
    <w:rsid w:val="00B65D34"/>
    <w:rsid w:val="00B665C8"/>
    <w:rsid w:val="00B671C4"/>
    <w:rsid w:val="00B67810"/>
    <w:rsid w:val="00B6783A"/>
    <w:rsid w:val="00B7136D"/>
    <w:rsid w:val="00B7139D"/>
    <w:rsid w:val="00B713EE"/>
    <w:rsid w:val="00B71804"/>
    <w:rsid w:val="00B72061"/>
    <w:rsid w:val="00B72232"/>
    <w:rsid w:val="00B7233D"/>
    <w:rsid w:val="00B729EF"/>
    <w:rsid w:val="00B7363C"/>
    <w:rsid w:val="00B7381A"/>
    <w:rsid w:val="00B74085"/>
    <w:rsid w:val="00B740A6"/>
    <w:rsid w:val="00B74560"/>
    <w:rsid w:val="00B75985"/>
    <w:rsid w:val="00B76CD9"/>
    <w:rsid w:val="00B776A6"/>
    <w:rsid w:val="00B778B3"/>
    <w:rsid w:val="00B80AA9"/>
    <w:rsid w:val="00B81224"/>
    <w:rsid w:val="00B8189A"/>
    <w:rsid w:val="00B81EDD"/>
    <w:rsid w:val="00B8220D"/>
    <w:rsid w:val="00B824EE"/>
    <w:rsid w:val="00B82FC1"/>
    <w:rsid w:val="00B8300F"/>
    <w:rsid w:val="00B835A8"/>
    <w:rsid w:val="00B83769"/>
    <w:rsid w:val="00B851DF"/>
    <w:rsid w:val="00B85377"/>
    <w:rsid w:val="00B8584C"/>
    <w:rsid w:val="00B858E7"/>
    <w:rsid w:val="00B85A69"/>
    <w:rsid w:val="00B85BD5"/>
    <w:rsid w:val="00B8614B"/>
    <w:rsid w:val="00B8798D"/>
    <w:rsid w:val="00B87A0D"/>
    <w:rsid w:val="00B906DC"/>
    <w:rsid w:val="00B90D0E"/>
    <w:rsid w:val="00B91E7A"/>
    <w:rsid w:val="00B92523"/>
    <w:rsid w:val="00B92710"/>
    <w:rsid w:val="00B930C3"/>
    <w:rsid w:val="00B9360D"/>
    <w:rsid w:val="00B946CF"/>
    <w:rsid w:val="00B94B90"/>
    <w:rsid w:val="00B94E31"/>
    <w:rsid w:val="00B955A8"/>
    <w:rsid w:val="00B95829"/>
    <w:rsid w:val="00B95A79"/>
    <w:rsid w:val="00B95B1B"/>
    <w:rsid w:val="00B95D76"/>
    <w:rsid w:val="00B967C2"/>
    <w:rsid w:val="00B96922"/>
    <w:rsid w:val="00B97359"/>
    <w:rsid w:val="00B97788"/>
    <w:rsid w:val="00B977A4"/>
    <w:rsid w:val="00B97E14"/>
    <w:rsid w:val="00BA006B"/>
    <w:rsid w:val="00BA025F"/>
    <w:rsid w:val="00BA07E7"/>
    <w:rsid w:val="00BA1721"/>
    <w:rsid w:val="00BA19F4"/>
    <w:rsid w:val="00BA1BAD"/>
    <w:rsid w:val="00BA2640"/>
    <w:rsid w:val="00BA2CED"/>
    <w:rsid w:val="00BA3C41"/>
    <w:rsid w:val="00BA41C5"/>
    <w:rsid w:val="00BA544A"/>
    <w:rsid w:val="00BA5AEB"/>
    <w:rsid w:val="00BA6454"/>
    <w:rsid w:val="00BA6C2F"/>
    <w:rsid w:val="00BA6C34"/>
    <w:rsid w:val="00BA7137"/>
    <w:rsid w:val="00BA7934"/>
    <w:rsid w:val="00BA7DB0"/>
    <w:rsid w:val="00BB0569"/>
    <w:rsid w:val="00BB0DED"/>
    <w:rsid w:val="00BB148F"/>
    <w:rsid w:val="00BB1492"/>
    <w:rsid w:val="00BB17BB"/>
    <w:rsid w:val="00BB1A55"/>
    <w:rsid w:val="00BB1A7D"/>
    <w:rsid w:val="00BB1BF8"/>
    <w:rsid w:val="00BB1CA2"/>
    <w:rsid w:val="00BB1E08"/>
    <w:rsid w:val="00BB2579"/>
    <w:rsid w:val="00BB3896"/>
    <w:rsid w:val="00BB3B4F"/>
    <w:rsid w:val="00BB3BB5"/>
    <w:rsid w:val="00BB3C33"/>
    <w:rsid w:val="00BB40C8"/>
    <w:rsid w:val="00BB46AA"/>
    <w:rsid w:val="00BB56A7"/>
    <w:rsid w:val="00BB5D9E"/>
    <w:rsid w:val="00BB5FE1"/>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247"/>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0F"/>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829"/>
    <w:rsid w:val="00BE7D55"/>
    <w:rsid w:val="00BF07DE"/>
    <w:rsid w:val="00BF0840"/>
    <w:rsid w:val="00BF0919"/>
    <w:rsid w:val="00BF0AC2"/>
    <w:rsid w:val="00BF15D7"/>
    <w:rsid w:val="00BF1E3D"/>
    <w:rsid w:val="00BF26BA"/>
    <w:rsid w:val="00BF286D"/>
    <w:rsid w:val="00BF28B7"/>
    <w:rsid w:val="00BF2D7B"/>
    <w:rsid w:val="00BF327C"/>
    <w:rsid w:val="00BF346C"/>
    <w:rsid w:val="00BF4986"/>
    <w:rsid w:val="00BF4D8B"/>
    <w:rsid w:val="00BF4E3A"/>
    <w:rsid w:val="00BF52FF"/>
    <w:rsid w:val="00BF562A"/>
    <w:rsid w:val="00BF5727"/>
    <w:rsid w:val="00BF59B9"/>
    <w:rsid w:val="00C0016A"/>
    <w:rsid w:val="00C00702"/>
    <w:rsid w:val="00C00A10"/>
    <w:rsid w:val="00C010E0"/>
    <w:rsid w:val="00C01211"/>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07FC7"/>
    <w:rsid w:val="00C107E2"/>
    <w:rsid w:val="00C110C2"/>
    <w:rsid w:val="00C1192F"/>
    <w:rsid w:val="00C11D56"/>
    <w:rsid w:val="00C120CD"/>
    <w:rsid w:val="00C131FC"/>
    <w:rsid w:val="00C13865"/>
    <w:rsid w:val="00C13BE9"/>
    <w:rsid w:val="00C1533C"/>
    <w:rsid w:val="00C15B87"/>
    <w:rsid w:val="00C15BA7"/>
    <w:rsid w:val="00C1690E"/>
    <w:rsid w:val="00C173F8"/>
    <w:rsid w:val="00C179BC"/>
    <w:rsid w:val="00C17B3B"/>
    <w:rsid w:val="00C201B7"/>
    <w:rsid w:val="00C20783"/>
    <w:rsid w:val="00C20B0B"/>
    <w:rsid w:val="00C21425"/>
    <w:rsid w:val="00C21803"/>
    <w:rsid w:val="00C21D5A"/>
    <w:rsid w:val="00C22421"/>
    <w:rsid w:val="00C225DF"/>
    <w:rsid w:val="00C22B50"/>
    <w:rsid w:val="00C22D8D"/>
    <w:rsid w:val="00C23106"/>
    <w:rsid w:val="00C2363A"/>
    <w:rsid w:val="00C2365A"/>
    <w:rsid w:val="00C237AC"/>
    <w:rsid w:val="00C23829"/>
    <w:rsid w:val="00C24722"/>
    <w:rsid w:val="00C24A0B"/>
    <w:rsid w:val="00C24D00"/>
    <w:rsid w:val="00C24DFD"/>
    <w:rsid w:val="00C25DA8"/>
    <w:rsid w:val="00C26018"/>
    <w:rsid w:val="00C265BD"/>
    <w:rsid w:val="00C2679E"/>
    <w:rsid w:val="00C26C04"/>
    <w:rsid w:val="00C26FCF"/>
    <w:rsid w:val="00C2700F"/>
    <w:rsid w:val="00C276EC"/>
    <w:rsid w:val="00C27BC8"/>
    <w:rsid w:val="00C3010E"/>
    <w:rsid w:val="00C302C6"/>
    <w:rsid w:val="00C30741"/>
    <w:rsid w:val="00C31009"/>
    <w:rsid w:val="00C3155A"/>
    <w:rsid w:val="00C31770"/>
    <w:rsid w:val="00C318E4"/>
    <w:rsid w:val="00C31BB1"/>
    <w:rsid w:val="00C31C74"/>
    <w:rsid w:val="00C3382F"/>
    <w:rsid w:val="00C3514D"/>
    <w:rsid w:val="00C35D84"/>
    <w:rsid w:val="00C3639B"/>
    <w:rsid w:val="00C36A1E"/>
    <w:rsid w:val="00C3750A"/>
    <w:rsid w:val="00C37EA6"/>
    <w:rsid w:val="00C402A0"/>
    <w:rsid w:val="00C40795"/>
    <w:rsid w:val="00C40962"/>
    <w:rsid w:val="00C412F7"/>
    <w:rsid w:val="00C4166E"/>
    <w:rsid w:val="00C41CEF"/>
    <w:rsid w:val="00C4250E"/>
    <w:rsid w:val="00C42B0B"/>
    <w:rsid w:val="00C42EF6"/>
    <w:rsid w:val="00C43231"/>
    <w:rsid w:val="00C4366F"/>
    <w:rsid w:val="00C444E9"/>
    <w:rsid w:val="00C45123"/>
    <w:rsid w:val="00C4569B"/>
    <w:rsid w:val="00C459C3"/>
    <w:rsid w:val="00C46785"/>
    <w:rsid w:val="00C4687C"/>
    <w:rsid w:val="00C508F2"/>
    <w:rsid w:val="00C509BE"/>
    <w:rsid w:val="00C50A02"/>
    <w:rsid w:val="00C51089"/>
    <w:rsid w:val="00C51745"/>
    <w:rsid w:val="00C517A8"/>
    <w:rsid w:val="00C51829"/>
    <w:rsid w:val="00C518CE"/>
    <w:rsid w:val="00C51D0B"/>
    <w:rsid w:val="00C51F8D"/>
    <w:rsid w:val="00C529D2"/>
    <w:rsid w:val="00C52B54"/>
    <w:rsid w:val="00C53739"/>
    <w:rsid w:val="00C53762"/>
    <w:rsid w:val="00C53AFC"/>
    <w:rsid w:val="00C5471D"/>
    <w:rsid w:val="00C551E9"/>
    <w:rsid w:val="00C55DE2"/>
    <w:rsid w:val="00C56041"/>
    <w:rsid w:val="00C5656E"/>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637"/>
    <w:rsid w:val="00C6270C"/>
    <w:rsid w:val="00C62FE8"/>
    <w:rsid w:val="00C641B3"/>
    <w:rsid w:val="00C643CD"/>
    <w:rsid w:val="00C644DA"/>
    <w:rsid w:val="00C6478D"/>
    <w:rsid w:val="00C65047"/>
    <w:rsid w:val="00C6535A"/>
    <w:rsid w:val="00C65EA4"/>
    <w:rsid w:val="00C66242"/>
    <w:rsid w:val="00C66272"/>
    <w:rsid w:val="00C662D1"/>
    <w:rsid w:val="00C66C27"/>
    <w:rsid w:val="00C66E2B"/>
    <w:rsid w:val="00C67665"/>
    <w:rsid w:val="00C70277"/>
    <w:rsid w:val="00C70549"/>
    <w:rsid w:val="00C71206"/>
    <w:rsid w:val="00C72054"/>
    <w:rsid w:val="00C72E9F"/>
    <w:rsid w:val="00C73A73"/>
    <w:rsid w:val="00C73D23"/>
    <w:rsid w:val="00C74603"/>
    <w:rsid w:val="00C74A40"/>
    <w:rsid w:val="00C74D90"/>
    <w:rsid w:val="00C7521C"/>
    <w:rsid w:val="00C753AD"/>
    <w:rsid w:val="00C7555A"/>
    <w:rsid w:val="00C75AC1"/>
    <w:rsid w:val="00C75C59"/>
    <w:rsid w:val="00C75E5B"/>
    <w:rsid w:val="00C75EC1"/>
    <w:rsid w:val="00C7748A"/>
    <w:rsid w:val="00C77A01"/>
    <w:rsid w:val="00C80397"/>
    <w:rsid w:val="00C804DF"/>
    <w:rsid w:val="00C80C5B"/>
    <w:rsid w:val="00C80E66"/>
    <w:rsid w:val="00C81A27"/>
    <w:rsid w:val="00C81A44"/>
    <w:rsid w:val="00C823E2"/>
    <w:rsid w:val="00C82564"/>
    <w:rsid w:val="00C82CCD"/>
    <w:rsid w:val="00C82E37"/>
    <w:rsid w:val="00C83148"/>
    <w:rsid w:val="00C83697"/>
    <w:rsid w:val="00C83A74"/>
    <w:rsid w:val="00C83D04"/>
    <w:rsid w:val="00C83D71"/>
    <w:rsid w:val="00C8420C"/>
    <w:rsid w:val="00C858F0"/>
    <w:rsid w:val="00C86166"/>
    <w:rsid w:val="00C8652D"/>
    <w:rsid w:val="00C86836"/>
    <w:rsid w:val="00C86B71"/>
    <w:rsid w:val="00C86FB2"/>
    <w:rsid w:val="00C876F1"/>
    <w:rsid w:val="00C87889"/>
    <w:rsid w:val="00C87C7D"/>
    <w:rsid w:val="00C90006"/>
    <w:rsid w:val="00C9077F"/>
    <w:rsid w:val="00C909E1"/>
    <w:rsid w:val="00C90CAC"/>
    <w:rsid w:val="00C917A6"/>
    <w:rsid w:val="00C91FB9"/>
    <w:rsid w:val="00C92257"/>
    <w:rsid w:val="00C925D9"/>
    <w:rsid w:val="00C92A9F"/>
    <w:rsid w:val="00C92D9A"/>
    <w:rsid w:val="00C93052"/>
    <w:rsid w:val="00C93088"/>
    <w:rsid w:val="00C94192"/>
    <w:rsid w:val="00C94754"/>
    <w:rsid w:val="00C951E7"/>
    <w:rsid w:val="00C95694"/>
    <w:rsid w:val="00C95C4F"/>
    <w:rsid w:val="00C95F62"/>
    <w:rsid w:val="00C9602F"/>
    <w:rsid w:val="00C96A9B"/>
    <w:rsid w:val="00C96E57"/>
    <w:rsid w:val="00C97067"/>
    <w:rsid w:val="00C97316"/>
    <w:rsid w:val="00C976E9"/>
    <w:rsid w:val="00C978D0"/>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6EFA"/>
    <w:rsid w:val="00CA7053"/>
    <w:rsid w:val="00CA75FA"/>
    <w:rsid w:val="00CA7ABB"/>
    <w:rsid w:val="00CA7DCD"/>
    <w:rsid w:val="00CB0099"/>
    <w:rsid w:val="00CB175A"/>
    <w:rsid w:val="00CB17F2"/>
    <w:rsid w:val="00CB190E"/>
    <w:rsid w:val="00CB29ED"/>
    <w:rsid w:val="00CB3116"/>
    <w:rsid w:val="00CB3335"/>
    <w:rsid w:val="00CB4838"/>
    <w:rsid w:val="00CB4E79"/>
    <w:rsid w:val="00CB5560"/>
    <w:rsid w:val="00CB5754"/>
    <w:rsid w:val="00CB6DD3"/>
    <w:rsid w:val="00CC085F"/>
    <w:rsid w:val="00CC09EE"/>
    <w:rsid w:val="00CC0B56"/>
    <w:rsid w:val="00CC1828"/>
    <w:rsid w:val="00CC1B03"/>
    <w:rsid w:val="00CC20B3"/>
    <w:rsid w:val="00CC295E"/>
    <w:rsid w:val="00CC2E08"/>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4CD1"/>
    <w:rsid w:val="00CD54D7"/>
    <w:rsid w:val="00CD5571"/>
    <w:rsid w:val="00CD5808"/>
    <w:rsid w:val="00CD58BE"/>
    <w:rsid w:val="00CD6614"/>
    <w:rsid w:val="00CD6CF9"/>
    <w:rsid w:val="00CD75FC"/>
    <w:rsid w:val="00CD7722"/>
    <w:rsid w:val="00CD797B"/>
    <w:rsid w:val="00CD7D11"/>
    <w:rsid w:val="00CE0111"/>
    <w:rsid w:val="00CE03B9"/>
    <w:rsid w:val="00CE0C20"/>
    <w:rsid w:val="00CE17E0"/>
    <w:rsid w:val="00CE216C"/>
    <w:rsid w:val="00CE23AC"/>
    <w:rsid w:val="00CE2471"/>
    <w:rsid w:val="00CE28FA"/>
    <w:rsid w:val="00CE35E7"/>
    <w:rsid w:val="00CE38D1"/>
    <w:rsid w:val="00CE413C"/>
    <w:rsid w:val="00CE43C1"/>
    <w:rsid w:val="00CE46D4"/>
    <w:rsid w:val="00CE49D2"/>
    <w:rsid w:val="00CE4E21"/>
    <w:rsid w:val="00CE556F"/>
    <w:rsid w:val="00CE595D"/>
    <w:rsid w:val="00CE5B6C"/>
    <w:rsid w:val="00CE5C31"/>
    <w:rsid w:val="00CE6314"/>
    <w:rsid w:val="00CE6EE1"/>
    <w:rsid w:val="00CE7033"/>
    <w:rsid w:val="00CE777D"/>
    <w:rsid w:val="00CE79BE"/>
    <w:rsid w:val="00CE7A8D"/>
    <w:rsid w:val="00CE7AC7"/>
    <w:rsid w:val="00CF0E50"/>
    <w:rsid w:val="00CF141F"/>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071"/>
    <w:rsid w:val="00D01451"/>
    <w:rsid w:val="00D01E93"/>
    <w:rsid w:val="00D027AA"/>
    <w:rsid w:val="00D0291B"/>
    <w:rsid w:val="00D02BCB"/>
    <w:rsid w:val="00D02E2B"/>
    <w:rsid w:val="00D02ED1"/>
    <w:rsid w:val="00D0324C"/>
    <w:rsid w:val="00D033DD"/>
    <w:rsid w:val="00D04439"/>
    <w:rsid w:val="00D04D4C"/>
    <w:rsid w:val="00D053F5"/>
    <w:rsid w:val="00D06D6A"/>
    <w:rsid w:val="00D06E71"/>
    <w:rsid w:val="00D07F15"/>
    <w:rsid w:val="00D10A59"/>
    <w:rsid w:val="00D10B96"/>
    <w:rsid w:val="00D11153"/>
    <w:rsid w:val="00D113AA"/>
    <w:rsid w:val="00D11607"/>
    <w:rsid w:val="00D11666"/>
    <w:rsid w:val="00D118E2"/>
    <w:rsid w:val="00D11A17"/>
    <w:rsid w:val="00D12543"/>
    <w:rsid w:val="00D12A72"/>
    <w:rsid w:val="00D12B58"/>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5CE1"/>
    <w:rsid w:val="00D46053"/>
    <w:rsid w:val="00D46979"/>
    <w:rsid w:val="00D46BBA"/>
    <w:rsid w:val="00D4789A"/>
    <w:rsid w:val="00D47E15"/>
    <w:rsid w:val="00D50078"/>
    <w:rsid w:val="00D51124"/>
    <w:rsid w:val="00D51933"/>
    <w:rsid w:val="00D51B2F"/>
    <w:rsid w:val="00D51BA9"/>
    <w:rsid w:val="00D51F8B"/>
    <w:rsid w:val="00D525B8"/>
    <w:rsid w:val="00D52924"/>
    <w:rsid w:val="00D5296B"/>
    <w:rsid w:val="00D52F6F"/>
    <w:rsid w:val="00D53834"/>
    <w:rsid w:val="00D53B46"/>
    <w:rsid w:val="00D54A87"/>
    <w:rsid w:val="00D54B58"/>
    <w:rsid w:val="00D552B7"/>
    <w:rsid w:val="00D5766E"/>
    <w:rsid w:val="00D57BBD"/>
    <w:rsid w:val="00D6058A"/>
    <w:rsid w:val="00D61E37"/>
    <w:rsid w:val="00D62AC7"/>
    <w:rsid w:val="00D62F2B"/>
    <w:rsid w:val="00D63841"/>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310"/>
    <w:rsid w:val="00D73316"/>
    <w:rsid w:val="00D734E2"/>
    <w:rsid w:val="00D7357B"/>
    <w:rsid w:val="00D73B52"/>
    <w:rsid w:val="00D73CDA"/>
    <w:rsid w:val="00D74348"/>
    <w:rsid w:val="00D745F5"/>
    <w:rsid w:val="00D74910"/>
    <w:rsid w:val="00D74CB1"/>
    <w:rsid w:val="00D74D28"/>
    <w:rsid w:val="00D7515A"/>
    <w:rsid w:val="00D755D4"/>
    <w:rsid w:val="00D75748"/>
    <w:rsid w:val="00D763C6"/>
    <w:rsid w:val="00D768B9"/>
    <w:rsid w:val="00D77014"/>
    <w:rsid w:val="00D80071"/>
    <w:rsid w:val="00D80178"/>
    <w:rsid w:val="00D80939"/>
    <w:rsid w:val="00D80FA6"/>
    <w:rsid w:val="00D818D7"/>
    <w:rsid w:val="00D81B80"/>
    <w:rsid w:val="00D82CE3"/>
    <w:rsid w:val="00D82EE1"/>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22C"/>
    <w:rsid w:val="00D944F6"/>
    <w:rsid w:val="00D949A0"/>
    <w:rsid w:val="00D95645"/>
    <w:rsid w:val="00D9614C"/>
    <w:rsid w:val="00D962AB"/>
    <w:rsid w:val="00D962DD"/>
    <w:rsid w:val="00D962F6"/>
    <w:rsid w:val="00D96570"/>
    <w:rsid w:val="00D965E7"/>
    <w:rsid w:val="00D96763"/>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966"/>
    <w:rsid w:val="00DB0FCE"/>
    <w:rsid w:val="00DB0FF2"/>
    <w:rsid w:val="00DB1439"/>
    <w:rsid w:val="00DB1C5D"/>
    <w:rsid w:val="00DB1F0D"/>
    <w:rsid w:val="00DB2100"/>
    <w:rsid w:val="00DB23EE"/>
    <w:rsid w:val="00DB2496"/>
    <w:rsid w:val="00DB3608"/>
    <w:rsid w:val="00DB379C"/>
    <w:rsid w:val="00DB3A0F"/>
    <w:rsid w:val="00DB3FB0"/>
    <w:rsid w:val="00DB4248"/>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5F2"/>
    <w:rsid w:val="00DC29CD"/>
    <w:rsid w:val="00DC2CAE"/>
    <w:rsid w:val="00DC3652"/>
    <w:rsid w:val="00DC46EE"/>
    <w:rsid w:val="00DC4E3C"/>
    <w:rsid w:val="00DC562C"/>
    <w:rsid w:val="00DC5633"/>
    <w:rsid w:val="00DC56DF"/>
    <w:rsid w:val="00DC772B"/>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6A5"/>
    <w:rsid w:val="00DD6FD5"/>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0B34"/>
    <w:rsid w:val="00DF1A53"/>
    <w:rsid w:val="00DF272A"/>
    <w:rsid w:val="00DF2A25"/>
    <w:rsid w:val="00DF2F64"/>
    <w:rsid w:val="00DF3019"/>
    <w:rsid w:val="00DF31B1"/>
    <w:rsid w:val="00DF3751"/>
    <w:rsid w:val="00DF3C83"/>
    <w:rsid w:val="00DF544D"/>
    <w:rsid w:val="00DF549C"/>
    <w:rsid w:val="00DF5912"/>
    <w:rsid w:val="00DF5AD3"/>
    <w:rsid w:val="00DF5BAD"/>
    <w:rsid w:val="00DF5D55"/>
    <w:rsid w:val="00DF628A"/>
    <w:rsid w:val="00DF6522"/>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551"/>
    <w:rsid w:val="00E067D9"/>
    <w:rsid w:val="00E06A37"/>
    <w:rsid w:val="00E0740B"/>
    <w:rsid w:val="00E07DC3"/>
    <w:rsid w:val="00E103A9"/>
    <w:rsid w:val="00E1049E"/>
    <w:rsid w:val="00E10D71"/>
    <w:rsid w:val="00E113AB"/>
    <w:rsid w:val="00E11821"/>
    <w:rsid w:val="00E11E1F"/>
    <w:rsid w:val="00E1232E"/>
    <w:rsid w:val="00E123B7"/>
    <w:rsid w:val="00E12472"/>
    <w:rsid w:val="00E12E63"/>
    <w:rsid w:val="00E1371B"/>
    <w:rsid w:val="00E13BEB"/>
    <w:rsid w:val="00E13F2A"/>
    <w:rsid w:val="00E14AD0"/>
    <w:rsid w:val="00E15860"/>
    <w:rsid w:val="00E15F8C"/>
    <w:rsid w:val="00E16355"/>
    <w:rsid w:val="00E1734B"/>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1BB"/>
    <w:rsid w:val="00E344F9"/>
    <w:rsid w:val="00E34B20"/>
    <w:rsid w:val="00E34B21"/>
    <w:rsid w:val="00E35819"/>
    <w:rsid w:val="00E3690D"/>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5EE6"/>
    <w:rsid w:val="00E45F11"/>
    <w:rsid w:val="00E464B9"/>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09B"/>
    <w:rsid w:val="00E540F4"/>
    <w:rsid w:val="00E549B0"/>
    <w:rsid w:val="00E54EC0"/>
    <w:rsid w:val="00E55660"/>
    <w:rsid w:val="00E56D81"/>
    <w:rsid w:val="00E604BF"/>
    <w:rsid w:val="00E60939"/>
    <w:rsid w:val="00E609E0"/>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166"/>
    <w:rsid w:val="00E70381"/>
    <w:rsid w:val="00E717E4"/>
    <w:rsid w:val="00E71E75"/>
    <w:rsid w:val="00E7208D"/>
    <w:rsid w:val="00E7247B"/>
    <w:rsid w:val="00E72A6A"/>
    <w:rsid w:val="00E730B5"/>
    <w:rsid w:val="00E7311C"/>
    <w:rsid w:val="00E73755"/>
    <w:rsid w:val="00E7433A"/>
    <w:rsid w:val="00E74822"/>
    <w:rsid w:val="00E74B11"/>
    <w:rsid w:val="00E75331"/>
    <w:rsid w:val="00E7536B"/>
    <w:rsid w:val="00E75E35"/>
    <w:rsid w:val="00E75EC9"/>
    <w:rsid w:val="00E76507"/>
    <w:rsid w:val="00E7680B"/>
    <w:rsid w:val="00E76A36"/>
    <w:rsid w:val="00E76DF6"/>
    <w:rsid w:val="00E7791A"/>
    <w:rsid w:val="00E805BD"/>
    <w:rsid w:val="00E8128B"/>
    <w:rsid w:val="00E8164E"/>
    <w:rsid w:val="00E816F7"/>
    <w:rsid w:val="00E819A5"/>
    <w:rsid w:val="00E819D1"/>
    <w:rsid w:val="00E820BF"/>
    <w:rsid w:val="00E82122"/>
    <w:rsid w:val="00E82EF4"/>
    <w:rsid w:val="00E830DC"/>
    <w:rsid w:val="00E8316B"/>
    <w:rsid w:val="00E8327B"/>
    <w:rsid w:val="00E83965"/>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CAA"/>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F6D"/>
    <w:rsid w:val="00EA616C"/>
    <w:rsid w:val="00EA61C1"/>
    <w:rsid w:val="00EA6C5B"/>
    <w:rsid w:val="00EA6CFB"/>
    <w:rsid w:val="00EA6DED"/>
    <w:rsid w:val="00EA71DA"/>
    <w:rsid w:val="00EB07EB"/>
    <w:rsid w:val="00EB0AA6"/>
    <w:rsid w:val="00EB137F"/>
    <w:rsid w:val="00EB1889"/>
    <w:rsid w:val="00EB1ACD"/>
    <w:rsid w:val="00EB2984"/>
    <w:rsid w:val="00EB2DDE"/>
    <w:rsid w:val="00EB2DF5"/>
    <w:rsid w:val="00EB3135"/>
    <w:rsid w:val="00EB3438"/>
    <w:rsid w:val="00EB3A08"/>
    <w:rsid w:val="00EB4460"/>
    <w:rsid w:val="00EB51A1"/>
    <w:rsid w:val="00EB5CAE"/>
    <w:rsid w:val="00EB617B"/>
    <w:rsid w:val="00EB703F"/>
    <w:rsid w:val="00EB76B7"/>
    <w:rsid w:val="00EB7FBB"/>
    <w:rsid w:val="00EC0323"/>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52"/>
    <w:rsid w:val="00EC59BB"/>
    <w:rsid w:val="00EC5C5F"/>
    <w:rsid w:val="00EC60F8"/>
    <w:rsid w:val="00EC6AC2"/>
    <w:rsid w:val="00EC7161"/>
    <w:rsid w:val="00EC73D5"/>
    <w:rsid w:val="00EC73FC"/>
    <w:rsid w:val="00ED0408"/>
    <w:rsid w:val="00ED0450"/>
    <w:rsid w:val="00ED06AE"/>
    <w:rsid w:val="00ED18D8"/>
    <w:rsid w:val="00ED228F"/>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6EE"/>
    <w:rsid w:val="00EF281C"/>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B4"/>
    <w:rsid w:val="00F01DE4"/>
    <w:rsid w:val="00F01F22"/>
    <w:rsid w:val="00F03155"/>
    <w:rsid w:val="00F03A9F"/>
    <w:rsid w:val="00F04E0C"/>
    <w:rsid w:val="00F05380"/>
    <w:rsid w:val="00F054F1"/>
    <w:rsid w:val="00F05743"/>
    <w:rsid w:val="00F05847"/>
    <w:rsid w:val="00F05AD4"/>
    <w:rsid w:val="00F05E89"/>
    <w:rsid w:val="00F05FA5"/>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163"/>
    <w:rsid w:val="00F2545B"/>
    <w:rsid w:val="00F254B2"/>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977"/>
    <w:rsid w:val="00F341DB"/>
    <w:rsid w:val="00F34BF2"/>
    <w:rsid w:val="00F357B7"/>
    <w:rsid w:val="00F35ACB"/>
    <w:rsid w:val="00F35DEB"/>
    <w:rsid w:val="00F36714"/>
    <w:rsid w:val="00F36837"/>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6A4D"/>
    <w:rsid w:val="00F5796B"/>
    <w:rsid w:val="00F601E6"/>
    <w:rsid w:val="00F60D5B"/>
    <w:rsid w:val="00F61F08"/>
    <w:rsid w:val="00F625D6"/>
    <w:rsid w:val="00F629BD"/>
    <w:rsid w:val="00F643BB"/>
    <w:rsid w:val="00F64AFC"/>
    <w:rsid w:val="00F652C8"/>
    <w:rsid w:val="00F654A0"/>
    <w:rsid w:val="00F65803"/>
    <w:rsid w:val="00F65FBD"/>
    <w:rsid w:val="00F66255"/>
    <w:rsid w:val="00F6713A"/>
    <w:rsid w:val="00F6729C"/>
    <w:rsid w:val="00F6776C"/>
    <w:rsid w:val="00F67AD6"/>
    <w:rsid w:val="00F70489"/>
    <w:rsid w:val="00F704B7"/>
    <w:rsid w:val="00F706D2"/>
    <w:rsid w:val="00F707D3"/>
    <w:rsid w:val="00F70C52"/>
    <w:rsid w:val="00F70E02"/>
    <w:rsid w:val="00F70E13"/>
    <w:rsid w:val="00F71685"/>
    <w:rsid w:val="00F720E0"/>
    <w:rsid w:val="00F729C0"/>
    <w:rsid w:val="00F72E41"/>
    <w:rsid w:val="00F73462"/>
    <w:rsid w:val="00F734EC"/>
    <w:rsid w:val="00F7389A"/>
    <w:rsid w:val="00F73AC9"/>
    <w:rsid w:val="00F73B8E"/>
    <w:rsid w:val="00F73BA0"/>
    <w:rsid w:val="00F73CCC"/>
    <w:rsid w:val="00F744B0"/>
    <w:rsid w:val="00F74556"/>
    <w:rsid w:val="00F75304"/>
    <w:rsid w:val="00F75535"/>
    <w:rsid w:val="00F7557A"/>
    <w:rsid w:val="00F75662"/>
    <w:rsid w:val="00F75ED9"/>
    <w:rsid w:val="00F76414"/>
    <w:rsid w:val="00F7642E"/>
    <w:rsid w:val="00F769BA"/>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2F17"/>
    <w:rsid w:val="00F83700"/>
    <w:rsid w:val="00F838F6"/>
    <w:rsid w:val="00F84A74"/>
    <w:rsid w:val="00F84B98"/>
    <w:rsid w:val="00F84C84"/>
    <w:rsid w:val="00F85BDB"/>
    <w:rsid w:val="00F86004"/>
    <w:rsid w:val="00F8600B"/>
    <w:rsid w:val="00F8604E"/>
    <w:rsid w:val="00F8614D"/>
    <w:rsid w:val="00F86450"/>
    <w:rsid w:val="00F87043"/>
    <w:rsid w:val="00F8747E"/>
    <w:rsid w:val="00F874CE"/>
    <w:rsid w:val="00F877E7"/>
    <w:rsid w:val="00F87969"/>
    <w:rsid w:val="00F87FE0"/>
    <w:rsid w:val="00F90DC2"/>
    <w:rsid w:val="00F90FCF"/>
    <w:rsid w:val="00F9114A"/>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3AC"/>
    <w:rsid w:val="00FA1578"/>
    <w:rsid w:val="00FA1605"/>
    <w:rsid w:val="00FA188E"/>
    <w:rsid w:val="00FA217F"/>
    <w:rsid w:val="00FA478B"/>
    <w:rsid w:val="00FA4BC4"/>
    <w:rsid w:val="00FA602E"/>
    <w:rsid w:val="00FA6135"/>
    <w:rsid w:val="00FA6C53"/>
    <w:rsid w:val="00FA6E2A"/>
    <w:rsid w:val="00FA70D8"/>
    <w:rsid w:val="00FA713E"/>
    <w:rsid w:val="00FA71ED"/>
    <w:rsid w:val="00FA7B7E"/>
    <w:rsid w:val="00FA7B84"/>
    <w:rsid w:val="00FA7C80"/>
    <w:rsid w:val="00FB122A"/>
    <w:rsid w:val="00FB1B6A"/>
    <w:rsid w:val="00FB1B90"/>
    <w:rsid w:val="00FB3386"/>
    <w:rsid w:val="00FB3558"/>
    <w:rsid w:val="00FB37E3"/>
    <w:rsid w:val="00FB3E06"/>
    <w:rsid w:val="00FB42FF"/>
    <w:rsid w:val="00FB456D"/>
    <w:rsid w:val="00FB45C8"/>
    <w:rsid w:val="00FB496F"/>
    <w:rsid w:val="00FB4C80"/>
    <w:rsid w:val="00FB5BA3"/>
    <w:rsid w:val="00FB5C67"/>
    <w:rsid w:val="00FB5ED2"/>
    <w:rsid w:val="00FB6A7D"/>
    <w:rsid w:val="00FC0290"/>
    <w:rsid w:val="00FC086F"/>
    <w:rsid w:val="00FC11EA"/>
    <w:rsid w:val="00FC1709"/>
    <w:rsid w:val="00FC2555"/>
    <w:rsid w:val="00FC296F"/>
    <w:rsid w:val="00FC38BC"/>
    <w:rsid w:val="00FC45E4"/>
    <w:rsid w:val="00FC48D6"/>
    <w:rsid w:val="00FC4B22"/>
    <w:rsid w:val="00FC5984"/>
    <w:rsid w:val="00FC6146"/>
    <w:rsid w:val="00FC6200"/>
    <w:rsid w:val="00FC6C52"/>
    <w:rsid w:val="00FC71BE"/>
    <w:rsid w:val="00FC77B0"/>
    <w:rsid w:val="00FC7C48"/>
    <w:rsid w:val="00FD0635"/>
    <w:rsid w:val="00FD1ABB"/>
    <w:rsid w:val="00FD208C"/>
    <w:rsid w:val="00FD25F6"/>
    <w:rsid w:val="00FD2E97"/>
    <w:rsid w:val="00FD30FB"/>
    <w:rsid w:val="00FD37A6"/>
    <w:rsid w:val="00FD37AD"/>
    <w:rsid w:val="00FD3CCE"/>
    <w:rsid w:val="00FD57C3"/>
    <w:rsid w:val="00FD5E1D"/>
    <w:rsid w:val="00FD6056"/>
    <w:rsid w:val="00FD678F"/>
    <w:rsid w:val="00FD6AEA"/>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7DA"/>
    <w:rsid w:val="00FE1B10"/>
    <w:rsid w:val="00FE1B99"/>
    <w:rsid w:val="00FE1CE8"/>
    <w:rsid w:val="00FE218C"/>
    <w:rsid w:val="00FE21D2"/>
    <w:rsid w:val="00FE2BB3"/>
    <w:rsid w:val="00FE3657"/>
    <w:rsid w:val="00FE3A18"/>
    <w:rsid w:val="00FE527E"/>
    <w:rsid w:val="00FE6AFA"/>
    <w:rsid w:val="00FE722B"/>
    <w:rsid w:val="00FE77FB"/>
    <w:rsid w:val="00FF08C3"/>
    <w:rsid w:val="00FF12D5"/>
    <w:rsid w:val="00FF157E"/>
    <w:rsid w:val="00FF17F0"/>
    <w:rsid w:val="00FF18D0"/>
    <w:rsid w:val="00FF1AA4"/>
    <w:rsid w:val="00FF1DA4"/>
    <w:rsid w:val="00FF1EDF"/>
    <w:rsid w:val="00FF1F55"/>
    <w:rsid w:val="00FF260F"/>
    <w:rsid w:val="00FF2622"/>
    <w:rsid w:val="00FF2BEE"/>
    <w:rsid w:val="00FF2F0D"/>
    <w:rsid w:val="00FF46A2"/>
    <w:rsid w:val="00FF4C10"/>
    <w:rsid w:val="00FF4D57"/>
    <w:rsid w:val="00FF5309"/>
    <w:rsid w:val="00FF5827"/>
    <w:rsid w:val="00FF587E"/>
    <w:rsid w:val="00FF5AFD"/>
    <w:rsid w:val="00FF5D9A"/>
    <w:rsid w:val="00FF5E03"/>
    <w:rsid w:val="00FF6442"/>
    <w:rsid w:val="00FF6C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CAA"/>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eastAsia="굴림" w:hAnsi="Cambria" w:cs="굴림"/>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eastAsia="굴림" w:hAnsi="Cambria" w:cs="굴림"/>
      <w:b/>
      <w:bCs/>
      <w:i/>
      <w:iCs/>
      <w:sz w:val="28"/>
      <w:szCs w:val="28"/>
      <w:lang w:val="x-none"/>
    </w:rPr>
  </w:style>
  <w:style w:type="character" w:customStyle="1" w:styleId="3Char">
    <w:name w:val="제목 3 Char"/>
    <w:link w:val="3"/>
    <w:uiPriority w:val="9"/>
    <w:rsid w:val="00C80397"/>
    <w:rPr>
      <w:rFonts w:ascii="Cambria" w:eastAsia="굴림" w:hAnsi="Cambria" w:cs="굴림"/>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rFonts w:ascii="굴림" w:eastAsia="굴림" w:hAnsi="굴림" w:cs="굴림"/>
      <w:b/>
      <w:bCs/>
      <w:sz w:val="28"/>
      <w:szCs w:val="28"/>
    </w:rPr>
  </w:style>
  <w:style w:type="character" w:customStyle="1" w:styleId="5Char">
    <w:name w:val="제목 5 Char"/>
    <w:link w:val="5"/>
    <w:uiPriority w:val="9"/>
    <w:semiHidden/>
    <w:rsid w:val="00CF7116"/>
    <w:rPr>
      <w:rFonts w:ascii="굴림" w:eastAsia="굴림" w:hAnsi="굴림" w:cs="굴림"/>
      <w:b/>
      <w:bCs/>
      <w:i/>
      <w:iCs/>
      <w:sz w:val="26"/>
      <w:szCs w:val="26"/>
    </w:rPr>
  </w:style>
  <w:style w:type="character" w:customStyle="1" w:styleId="6Char">
    <w:name w:val="제목 6 Char"/>
    <w:link w:val="6"/>
    <w:uiPriority w:val="9"/>
    <w:semiHidden/>
    <w:rsid w:val="00CF7116"/>
    <w:rPr>
      <w:rFonts w:ascii="굴림" w:eastAsia="굴림" w:hAnsi="굴림" w:cs="굴림"/>
      <w:b/>
      <w:bCs/>
      <w:sz w:val="24"/>
      <w:szCs w:val="24"/>
    </w:rPr>
  </w:style>
  <w:style w:type="character" w:customStyle="1" w:styleId="7Char">
    <w:name w:val="제목 7 Char"/>
    <w:link w:val="7"/>
    <w:uiPriority w:val="9"/>
    <w:semiHidden/>
    <w:rsid w:val="00CF7116"/>
    <w:rPr>
      <w:rFonts w:ascii="굴림" w:eastAsia="굴림" w:hAnsi="굴림" w:cs="굴림"/>
      <w:sz w:val="24"/>
      <w:szCs w:val="24"/>
    </w:rPr>
  </w:style>
  <w:style w:type="character" w:customStyle="1" w:styleId="8Char">
    <w:name w:val="제목 8 Char"/>
    <w:link w:val="8"/>
    <w:uiPriority w:val="9"/>
    <w:semiHidden/>
    <w:rsid w:val="00CF7116"/>
    <w:rPr>
      <w:rFonts w:ascii="굴림" w:eastAsia="굴림" w:hAnsi="굴림" w:cs="굴림"/>
      <w:i/>
      <w:iCs/>
      <w:sz w:val="24"/>
      <w:szCs w:val="24"/>
    </w:rPr>
  </w:style>
  <w:style w:type="character" w:customStyle="1" w:styleId="9Char">
    <w:name w:val="제목 9 Char"/>
    <w:link w:val="9"/>
    <w:uiPriority w:val="9"/>
    <w:semiHidden/>
    <w:rsid w:val="00CF7116"/>
    <w:rPr>
      <w:rFonts w:ascii="Cambria" w:eastAsia="굴림" w:hAnsi="Cambria" w:cs="굴림"/>
      <w:sz w:val="24"/>
      <w:szCs w:val="24"/>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cs="굴림"/>
      <w:szCs w:val="24"/>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1">
    <w:name w:val="LGTdoc_제목1"/>
    <w:basedOn w:val="a"/>
    <w:rsid w:val="00475EA3"/>
    <w:pPr>
      <w:adjustRightInd w:val="0"/>
      <w:snapToGrid w:val="0"/>
      <w:spacing w:beforeLines="50" w:before="120" w:after="100" w:afterAutospacing="1"/>
      <w:jc w:val="both"/>
    </w:pPr>
    <w:rPr>
      <w:rFonts w:ascii="Times New Roman" w:eastAsia="바탕" w:hAnsi="Times New Roman" w:cs="Times New Roman"/>
      <w:b/>
      <w:snapToGrid w:val="0"/>
      <w:sz w:val="28"/>
      <w:szCs w:val="20"/>
      <w:lang w:val="en-GB"/>
    </w:rPr>
  </w:style>
  <w:style w:type="paragraph" w:styleId="HTML">
    <w:name w:val="HTML Preformatted"/>
    <w:basedOn w:val="a"/>
    <w:link w:val="HTMLChar"/>
    <w:uiPriority w:val="99"/>
    <w:semiHidden/>
    <w:unhideWhenUsed/>
    <w:rsid w:val="006F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rPr>
  </w:style>
  <w:style w:type="character" w:customStyle="1" w:styleId="HTMLChar">
    <w:name w:val="미리 서식이 지정된 HTML Char"/>
    <w:basedOn w:val="a0"/>
    <w:link w:val="HTML"/>
    <w:uiPriority w:val="99"/>
    <w:semiHidden/>
    <w:rsid w:val="006F039F"/>
    <w:rPr>
      <w:rFonts w:ascii="굴림체" w:eastAsia="굴림체" w:hAnsi="굴림체" w:cs="굴림체"/>
      <w:sz w:val="24"/>
      <w:szCs w:val="24"/>
    </w:rPr>
  </w:style>
  <w:style w:type="character" w:customStyle="1" w:styleId="y2iqfc">
    <w:name w:val="y2iqfc"/>
    <w:basedOn w:val="a0"/>
    <w:rsid w:val="006F0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1726574">
      <w:bodyDiv w:val="1"/>
      <w:marLeft w:val="0"/>
      <w:marRight w:val="0"/>
      <w:marTop w:val="0"/>
      <w:marBottom w:val="0"/>
      <w:divBdr>
        <w:top w:val="none" w:sz="0" w:space="0" w:color="auto"/>
        <w:left w:val="none" w:sz="0" w:space="0" w:color="auto"/>
        <w:bottom w:val="none" w:sz="0" w:space="0" w:color="auto"/>
        <w:right w:val="none" w:sz="0" w:space="0" w:color="auto"/>
      </w:divBdr>
      <w:divsChild>
        <w:div w:id="197861396">
          <w:marLeft w:val="547"/>
          <w:marRight w:val="0"/>
          <w:marTop w:val="0"/>
          <w:marBottom w:val="0"/>
          <w:divBdr>
            <w:top w:val="none" w:sz="0" w:space="0" w:color="auto"/>
            <w:left w:val="none" w:sz="0" w:space="0" w:color="auto"/>
            <w:bottom w:val="none" w:sz="0" w:space="0" w:color="auto"/>
            <w:right w:val="none" w:sz="0" w:space="0" w:color="auto"/>
          </w:divBdr>
        </w:div>
        <w:div w:id="2013797799">
          <w:marLeft w:val="1080"/>
          <w:marRight w:val="0"/>
          <w:marTop w:val="0"/>
          <w:marBottom w:val="0"/>
          <w:divBdr>
            <w:top w:val="none" w:sz="0" w:space="0" w:color="auto"/>
            <w:left w:val="none" w:sz="0" w:space="0" w:color="auto"/>
            <w:bottom w:val="none" w:sz="0" w:space="0" w:color="auto"/>
            <w:right w:val="none" w:sz="0" w:space="0" w:color="auto"/>
          </w:divBdr>
        </w:div>
        <w:div w:id="256790671">
          <w:marLeft w:val="1800"/>
          <w:marRight w:val="0"/>
          <w:marTop w:val="0"/>
          <w:marBottom w:val="0"/>
          <w:divBdr>
            <w:top w:val="none" w:sz="0" w:space="0" w:color="auto"/>
            <w:left w:val="none" w:sz="0" w:space="0" w:color="auto"/>
            <w:bottom w:val="none" w:sz="0" w:space="0" w:color="auto"/>
            <w:right w:val="none" w:sz="0" w:space="0" w:color="auto"/>
          </w:divBdr>
        </w:div>
        <w:div w:id="447312187">
          <w:marLeft w:val="1800"/>
          <w:marRight w:val="0"/>
          <w:marTop w:val="0"/>
          <w:marBottom w:val="0"/>
          <w:divBdr>
            <w:top w:val="none" w:sz="0" w:space="0" w:color="auto"/>
            <w:left w:val="none" w:sz="0" w:space="0" w:color="auto"/>
            <w:bottom w:val="none" w:sz="0" w:space="0" w:color="auto"/>
            <w:right w:val="none" w:sz="0" w:space="0" w:color="auto"/>
          </w:divBdr>
        </w:div>
        <w:div w:id="1252736593">
          <w:marLeft w:val="1800"/>
          <w:marRight w:val="0"/>
          <w:marTop w:val="0"/>
          <w:marBottom w:val="0"/>
          <w:divBdr>
            <w:top w:val="none" w:sz="0" w:space="0" w:color="auto"/>
            <w:left w:val="none" w:sz="0" w:space="0" w:color="auto"/>
            <w:bottom w:val="none" w:sz="0" w:space="0" w:color="auto"/>
            <w:right w:val="none" w:sz="0" w:space="0" w:color="auto"/>
          </w:divBdr>
        </w:div>
        <w:div w:id="653294054">
          <w:marLeft w:val="1800"/>
          <w:marRight w:val="0"/>
          <w:marTop w:val="0"/>
          <w:marBottom w:val="0"/>
          <w:divBdr>
            <w:top w:val="none" w:sz="0" w:space="0" w:color="auto"/>
            <w:left w:val="none" w:sz="0" w:space="0" w:color="auto"/>
            <w:bottom w:val="none" w:sz="0" w:space="0" w:color="auto"/>
            <w:right w:val="none" w:sz="0" w:space="0" w:color="auto"/>
          </w:divBdr>
        </w:div>
        <w:div w:id="1870409419">
          <w:marLeft w:val="1800"/>
          <w:marRight w:val="0"/>
          <w:marTop w:val="0"/>
          <w:marBottom w:val="0"/>
          <w:divBdr>
            <w:top w:val="none" w:sz="0" w:space="0" w:color="auto"/>
            <w:left w:val="none" w:sz="0" w:space="0" w:color="auto"/>
            <w:bottom w:val="none" w:sz="0" w:space="0" w:color="auto"/>
            <w:right w:val="none" w:sz="0" w:space="0" w:color="auto"/>
          </w:divBdr>
        </w:div>
        <w:div w:id="1081948279">
          <w:marLeft w:val="1800"/>
          <w:marRight w:val="0"/>
          <w:marTop w:val="0"/>
          <w:marBottom w:val="0"/>
          <w:divBdr>
            <w:top w:val="none" w:sz="0" w:space="0" w:color="auto"/>
            <w:left w:val="none" w:sz="0" w:space="0" w:color="auto"/>
            <w:bottom w:val="none" w:sz="0" w:space="0" w:color="auto"/>
            <w:right w:val="none" w:sz="0" w:space="0" w:color="auto"/>
          </w:divBdr>
        </w:div>
        <w:div w:id="766582786">
          <w:marLeft w:val="1800"/>
          <w:marRight w:val="0"/>
          <w:marTop w:val="0"/>
          <w:marBottom w:val="0"/>
          <w:divBdr>
            <w:top w:val="none" w:sz="0" w:space="0" w:color="auto"/>
            <w:left w:val="none" w:sz="0" w:space="0" w:color="auto"/>
            <w:bottom w:val="none" w:sz="0" w:space="0" w:color="auto"/>
            <w:right w:val="none" w:sz="0" w:space="0" w:color="auto"/>
          </w:divBdr>
        </w:div>
        <w:div w:id="907766340">
          <w:marLeft w:val="1800"/>
          <w:marRight w:val="0"/>
          <w:marTop w:val="0"/>
          <w:marBottom w:val="0"/>
          <w:divBdr>
            <w:top w:val="none" w:sz="0" w:space="0" w:color="auto"/>
            <w:left w:val="none" w:sz="0" w:space="0" w:color="auto"/>
            <w:bottom w:val="none" w:sz="0" w:space="0" w:color="auto"/>
            <w:right w:val="none" w:sz="0" w:space="0" w:color="auto"/>
          </w:divBdr>
        </w:div>
        <w:div w:id="1906407669">
          <w:marLeft w:val="1800"/>
          <w:marRight w:val="0"/>
          <w:marTop w:val="0"/>
          <w:marBottom w:val="0"/>
          <w:divBdr>
            <w:top w:val="none" w:sz="0" w:space="0" w:color="auto"/>
            <w:left w:val="none" w:sz="0" w:space="0" w:color="auto"/>
            <w:bottom w:val="none" w:sz="0" w:space="0" w:color="auto"/>
            <w:right w:val="none" w:sz="0" w:space="0" w:color="auto"/>
          </w:divBdr>
        </w:div>
        <w:div w:id="1521892953">
          <w:marLeft w:val="1800"/>
          <w:marRight w:val="0"/>
          <w:marTop w:val="0"/>
          <w:marBottom w:val="0"/>
          <w:divBdr>
            <w:top w:val="none" w:sz="0" w:space="0" w:color="auto"/>
            <w:left w:val="none" w:sz="0" w:space="0" w:color="auto"/>
            <w:bottom w:val="none" w:sz="0" w:space="0" w:color="auto"/>
            <w:right w:val="none" w:sz="0" w:space="0" w:color="auto"/>
          </w:divBdr>
        </w:div>
      </w:divsChild>
    </w:div>
    <w:div w:id="84157171">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78544897">
      <w:bodyDiv w:val="1"/>
      <w:marLeft w:val="0"/>
      <w:marRight w:val="0"/>
      <w:marTop w:val="0"/>
      <w:marBottom w:val="0"/>
      <w:divBdr>
        <w:top w:val="none" w:sz="0" w:space="0" w:color="auto"/>
        <w:left w:val="none" w:sz="0" w:space="0" w:color="auto"/>
        <w:bottom w:val="none" w:sz="0" w:space="0" w:color="auto"/>
        <w:right w:val="none" w:sz="0" w:space="0" w:color="auto"/>
      </w:divBdr>
    </w:div>
    <w:div w:id="2750661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4793869">
      <w:bodyDiv w:val="1"/>
      <w:marLeft w:val="0"/>
      <w:marRight w:val="0"/>
      <w:marTop w:val="0"/>
      <w:marBottom w:val="0"/>
      <w:divBdr>
        <w:top w:val="none" w:sz="0" w:space="0" w:color="auto"/>
        <w:left w:val="none" w:sz="0" w:space="0" w:color="auto"/>
        <w:bottom w:val="none" w:sz="0" w:space="0" w:color="auto"/>
        <w:right w:val="none" w:sz="0" w:space="0" w:color="auto"/>
      </w:divBdr>
      <w:divsChild>
        <w:div w:id="1255628673">
          <w:marLeft w:val="547"/>
          <w:marRight w:val="0"/>
          <w:marTop w:val="0"/>
          <w:marBottom w:val="0"/>
          <w:divBdr>
            <w:top w:val="none" w:sz="0" w:space="0" w:color="auto"/>
            <w:left w:val="none" w:sz="0" w:space="0" w:color="auto"/>
            <w:bottom w:val="none" w:sz="0" w:space="0" w:color="auto"/>
            <w:right w:val="none" w:sz="0" w:space="0" w:color="auto"/>
          </w:divBdr>
        </w:div>
        <w:div w:id="1083382460">
          <w:marLeft w:val="1166"/>
          <w:marRight w:val="0"/>
          <w:marTop w:val="0"/>
          <w:marBottom w:val="0"/>
          <w:divBdr>
            <w:top w:val="none" w:sz="0" w:space="0" w:color="auto"/>
            <w:left w:val="none" w:sz="0" w:space="0" w:color="auto"/>
            <w:bottom w:val="none" w:sz="0" w:space="0" w:color="auto"/>
            <w:right w:val="none" w:sz="0" w:space="0" w:color="auto"/>
          </w:divBdr>
        </w:div>
        <w:div w:id="127676163">
          <w:marLeft w:val="1800"/>
          <w:marRight w:val="0"/>
          <w:marTop w:val="0"/>
          <w:marBottom w:val="0"/>
          <w:divBdr>
            <w:top w:val="none" w:sz="0" w:space="0" w:color="auto"/>
            <w:left w:val="none" w:sz="0" w:space="0" w:color="auto"/>
            <w:bottom w:val="none" w:sz="0" w:space="0" w:color="auto"/>
            <w:right w:val="none" w:sz="0" w:space="0" w:color="auto"/>
          </w:divBdr>
        </w:div>
        <w:div w:id="1911499743">
          <w:marLeft w:val="1166"/>
          <w:marRight w:val="0"/>
          <w:marTop w:val="0"/>
          <w:marBottom w:val="0"/>
          <w:divBdr>
            <w:top w:val="none" w:sz="0" w:space="0" w:color="auto"/>
            <w:left w:val="none" w:sz="0" w:space="0" w:color="auto"/>
            <w:bottom w:val="none" w:sz="0" w:space="0" w:color="auto"/>
            <w:right w:val="none" w:sz="0" w:space="0" w:color="auto"/>
          </w:divBdr>
        </w:div>
      </w:divsChild>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10154314">
      <w:bodyDiv w:val="1"/>
      <w:marLeft w:val="0"/>
      <w:marRight w:val="0"/>
      <w:marTop w:val="0"/>
      <w:marBottom w:val="0"/>
      <w:divBdr>
        <w:top w:val="none" w:sz="0" w:space="0" w:color="auto"/>
        <w:left w:val="none" w:sz="0" w:space="0" w:color="auto"/>
        <w:bottom w:val="none" w:sz="0" w:space="0" w:color="auto"/>
        <w:right w:val="none" w:sz="0" w:space="0" w:color="auto"/>
      </w:divBdr>
      <w:divsChild>
        <w:div w:id="53086883">
          <w:marLeft w:val="547"/>
          <w:marRight w:val="0"/>
          <w:marTop w:val="0"/>
          <w:marBottom w:val="0"/>
          <w:divBdr>
            <w:top w:val="none" w:sz="0" w:space="0" w:color="auto"/>
            <w:left w:val="none" w:sz="0" w:space="0" w:color="auto"/>
            <w:bottom w:val="none" w:sz="0" w:space="0" w:color="auto"/>
            <w:right w:val="none" w:sz="0" w:space="0" w:color="auto"/>
          </w:divBdr>
        </w:div>
        <w:div w:id="144518768">
          <w:marLeft w:val="1166"/>
          <w:marRight w:val="0"/>
          <w:marTop w:val="0"/>
          <w:marBottom w:val="0"/>
          <w:divBdr>
            <w:top w:val="none" w:sz="0" w:space="0" w:color="auto"/>
            <w:left w:val="none" w:sz="0" w:space="0" w:color="auto"/>
            <w:bottom w:val="none" w:sz="0" w:space="0" w:color="auto"/>
            <w:right w:val="none" w:sz="0" w:space="0" w:color="auto"/>
          </w:divBdr>
        </w:div>
        <w:div w:id="1217278607">
          <w:marLeft w:val="1166"/>
          <w:marRight w:val="0"/>
          <w:marTop w:val="0"/>
          <w:marBottom w:val="0"/>
          <w:divBdr>
            <w:top w:val="none" w:sz="0" w:space="0" w:color="auto"/>
            <w:left w:val="none" w:sz="0" w:space="0" w:color="auto"/>
            <w:bottom w:val="none" w:sz="0" w:space="0" w:color="auto"/>
            <w:right w:val="none" w:sz="0" w:space="0" w:color="auto"/>
          </w:divBdr>
        </w:div>
        <w:div w:id="660354182">
          <w:marLeft w:val="547"/>
          <w:marRight w:val="0"/>
          <w:marTop w:val="0"/>
          <w:marBottom w:val="0"/>
          <w:divBdr>
            <w:top w:val="none" w:sz="0" w:space="0" w:color="auto"/>
            <w:left w:val="none" w:sz="0" w:space="0" w:color="auto"/>
            <w:bottom w:val="none" w:sz="0" w:space="0" w:color="auto"/>
            <w:right w:val="none" w:sz="0" w:space="0" w:color="auto"/>
          </w:divBdr>
        </w:div>
        <w:div w:id="1186207893">
          <w:marLeft w:val="1166"/>
          <w:marRight w:val="0"/>
          <w:marTop w:val="0"/>
          <w:marBottom w:val="0"/>
          <w:divBdr>
            <w:top w:val="none" w:sz="0" w:space="0" w:color="auto"/>
            <w:left w:val="none" w:sz="0" w:space="0" w:color="auto"/>
            <w:bottom w:val="none" w:sz="0" w:space="0" w:color="auto"/>
            <w:right w:val="none" w:sz="0" w:space="0" w:color="auto"/>
          </w:divBdr>
        </w:div>
      </w:divsChild>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4723689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3423362">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146023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0573154">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6034461">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6397325">
      <w:bodyDiv w:val="1"/>
      <w:marLeft w:val="0"/>
      <w:marRight w:val="0"/>
      <w:marTop w:val="0"/>
      <w:marBottom w:val="0"/>
      <w:divBdr>
        <w:top w:val="none" w:sz="0" w:space="0" w:color="auto"/>
        <w:left w:val="none" w:sz="0" w:space="0" w:color="auto"/>
        <w:bottom w:val="none" w:sz="0" w:space="0" w:color="auto"/>
        <w:right w:val="none" w:sz="0" w:space="0" w:color="auto"/>
      </w:divBdr>
    </w:div>
    <w:div w:id="719400507">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52625155">
      <w:bodyDiv w:val="1"/>
      <w:marLeft w:val="0"/>
      <w:marRight w:val="0"/>
      <w:marTop w:val="0"/>
      <w:marBottom w:val="0"/>
      <w:divBdr>
        <w:top w:val="none" w:sz="0" w:space="0" w:color="auto"/>
        <w:left w:val="none" w:sz="0" w:space="0" w:color="auto"/>
        <w:bottom w:val="none" w:sz="0" w:space="0" w:color="auto"/>
        <w:right w:val="none" w:sz="0" w:space="0" w:color="auto"/>
      </w:divBdr>
    </w:div>
    <w:div w:id="765805108">
      <w:bodyDiv w:val="1"/>
      <w:marLeft w:val="0"/>
      <w:marRight w:val="0"/>
      <w:marTop w:val="0"/>
      <w:marBottom w:val="0"/>
      <w:divBdr>
        <w:top w:val="none" w:sz="0" w:space="0" w:color="auto"/>
        <w:left w:val="none" w:sz="0" w:space="0" w:color="auto"/>
        <w:bottom w:val="none" w:sz="0" w:space="0" w:color="auto"/>
        <w:right w:val="none" w:sz="0" w:space="0" w:color="auto"/>
      </w:divBdr>
    </w:div>
    <w:div w:id="811874870">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6599302">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274766">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19255775">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60972866">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51811815">
      <w:bodyDiv w:val="1"/>
      <w:marLeft w:val="0"/>
      <w:marRight w:val="0"/>
      <w:marTop w:val="0"/>
      <w:marBottom w:val="0"/>
      <w:divBdr>
        <w:top w:val="none" w:sz="0" w:space="0" w:color="auto"/>
        <w:left w:val="none" w:sz="0" w:space="0" w:color="auto"/>
        <w:bottom w:val="none" w:sz="0" w:space="0" w:color="auto"/>
        <w:right w:val="none" w:sz="0" w:space="0" w:color="auto"/>
      </w:divBdr>
      <w:divsChild>
        <w:div w:id="1664235228">
          <w:marLeft w:val="547"/>
          <w:marRight w:val="0"/>
          <w:marTop w:val="0"/>
          <w:marBottom w:val="0"/>
          <w:divBdr>
            <w:top w:val="none" w:sz="0" w:space="0" w:color="auto"/>
            <w:left w:val="none" w:sz="0" w:space="0" w:color="auto"/>
            <w:bottom w:val="none" w:sz="0" w:space="0" w:color="auto"/>
            <w:right w:val="none" w:sz="0" w:space="0" w:color="auto"/>
          </w:divBdr>
        </w:div>
        <w:div w:id="832262893">
          <w:marLeft w:val="1166"/>
          <w:marRight w:val="0"/>
          <w:marTop w:val="0"/>
          <w:marBottom w:val="0"/>
          <w:divBdr>
            <w:top w:val="none" w:sz="0" w:space="0" w:color="auto"/>
            <w:left w:val="none" w:sz="0" w:space="0" w:color="auto"/>
            <w:bottom w:val="none" w:sz="0" w:space="0" w:color="auto"/>
            <w:right w:val="none" w:sz="0" w:space="0" w:color="auto"/>
          </w:divBdr>
        </w:div>
        <w:div w:id="1179853482">
          <w:marLeft w:val="547"/>
          <w:marRight w:val="0"/>
          <w:marTop w:val="0"/>
          <w:marBottom w:val="0"/>
          <w:divBdr>
            <w:top w:val="none" w:sz="0" w:space="0" w:color="auto"/>
            <w:left w:val="none" w:sz="0" w:space="0" w:color="auto"/>
            <w:bottom w:val="none" w:sz="0" w:space="0" w:color="auto"/>
            <w:right w:val="none" w:sz="0" w:space="0" w:color="auto"/>
          </w:divBdr>
        </w:div>
        <w:div w:id="1003895474">
          <w:marLeft w:val="1166"/>
          <w:marRight w:val="0"/>
          <w:marTop w:val="0"/>
          <w:marBottom w:val="0"/>
          <w:divBdr>
            <w:top w:val="none" w:sz="0" w:space="0" w:color="auto"/>
            <w:left w:val="none" w:sz="0" w:space="0" w:color="auto"/>
            <w:bottom w:val="none" w:sz="0" w:space="0" w:color="auto"/>
            <w:right w:val="none" w:sz="0" w:space="0" w:color="auto"/>
          </w:divBdr>
        </w:div>
        <w:div w:id="1192648944">
          <w:marLeft w:val="1800"/>
          <w:marRight w:val="0"/>
          <w:marTop w:val="0"/>
          <w:marBottom w:val="0"/>
          <w:divBdr>
            <w:top w:val="none" w:sz="0" w:space="0" w:color="auto"/>
            <w:left w:val="none" w:sz="0" w:space="0" w:color="auto"/>
            <w:bottom w:val="none" w:sz="0" w:space="0" w:color="auto"/>
            <w:right w:val="none" w:sz="0" w:space="0" w:color="auto"/>
          </w:divBdr>
        </w:div>
        <w:div w:id="324481620">
          <w:marLeft w:val="1166"/>
          <w:marRight w:val="0"/>
          <w:marTop w:val="0"/>
          <w:marBottom w:val="0"/>
          <w:divBdr>
            <w:top w:val="none" w:sz="0" w:space="0" w:color="auto"/>
            <w:left w:val="none" w:sz="0" w:space="0" w:color="auto"/>
            <w:bottom w:val="none" w:sz="0" w:space="0" w:color="auto"/>
            <w:right w:val="none" w:sz="0" w:space="0" w:color="auto"/>
          </w:divBdr>
        </w:div>
        <w:div w:id="1610628340">
          <w:marLeft w:val="547"/>
          <w:marRight w:val="0"/>
          <w:marTop w:val="0"/>
          <w:marBottom w:val="0"/>
          <w:divBdr>
            <w:top w:val="none" w:sz="0" w:space="0" w:color="auto"/>
            <w:left w:val="none" w:sz="0" w:space="0" w:color="auto"/>
            <w:bottom w:val="none" w:sz="0" w:space="0" w:color="auto"/>
            <w:right w:val="none" w:sz="0" w:space="0" w:color="auto"/>
          </w:divBdr>
        </w:div>
        <w:div w:id="1162507297">
          <w:marLeft w:val="1166"/>
          <w:marRight w:val="0"/>
          <w:marTop w:val="0"/>
          <w:marBottom w:val="0"/>
          <w:divBdr>
            <w:top w:val="none" w:sz="0" w:space="0" w:color="auto"/>
            <w:left w:val="none" w:sz="0" w:space="0" w:color="auto"/>
            <w:bottom w:val="none" w:sz="0" w:space="0" w:color="auto"/>
            <w:right w:val="none" w:sz="0" w:space="0" w:color="auto"/>
          </w:divBdr>
        </w:div>
      </w:divsChild>
    </w:div>
    <w:div w:id="1252272606">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0645561">
      <w:bodyDiv w:val="1"/>
      <w:marLeft w:val="0"/>
      <w:marRight w:val="0"/>
      <w:marTop w:val="0"/>
      <w:marBottom w:val="0"/>
      <w:divBdr>
        <w:top w:val="none" w:sz="0" w:space="0" w:color="auto"/>
        <w:left w:val="none" w:sz="0" w:space="0" w:color="auto"/>
        <w:bottom w:val="none" w:sz="0" w:space="0" w:color="auto"/>
        <w:right w:val="none" w:sz="0" w:space="0" w:color="auto"/>
      </w:divBdr>
      <w:divsChild>
        <w:div w:id="789396181">
          <w:marLeft w:val="547"/>
          <w:marRight w:val="0"/>
          <w:marTop w:val="0"/>
          <w:marBottom w:val="0"/>
          <w:divBdr>
            <w:top w:val="none" w:sz="0" w:space="0" w:color="auto"/>
            <w:left w:val="none" w:sz="0" w:space="0" w:color="auto"/>
            <w:bottom w:val="none" w:sz="0" w:space="0" w:color="auto"/>
            <w:right w:val="none" w:sz="0" w:space="0" w:color="auto"/>
          </w:divBdr>
        </w:div>
        <w:div w:id="1163352636">
          <w:marLeft w:val="1166"/>
          <w:marRight w:val="0"/>
          <w:marTop w:val="0"/>
          <w:marBottom w:val="0"/>
          <w:divBdr>
            <w:top w:val="none" w:sz="0" w:space="0" w:color="auto"/>
            <w:left w:val="none" w:sz="0" w:space="0" w:color="auto"/>
            <w:bottom w:val="none" w:sz="0" w:space="0" w:color="auto"/>
            <w:right w:val="none" w:sz="0" w:space="0" w:color="auto"/>
          </w:divBdr>
        </w:div>
        <w:div w:id="2004044475">
          <w:marLeft w:val="1800"/>
          <w:marRight w:val="0"/>
          <w:marTop w:val="0"/>
          <w:marBottom w:val="0"/>
          <w:divBdr>
            <w:top w:val="none" w:sz="0" w:space="0" w:color="auto"/>
            <w:left w:val="none" w:sz="0" w:space="0" w:color="auto"/>
            <w:bottom w:val="none" w:sz="0" w:space="0" w:color="auto"/>
            <w:right w:val="none" w:sz="0" w:space="0" w:color="auto"/>
          </w:divBdr>
        </w:div>
        <w:div w:id="863598259">
          <w:marLeft w:val="1166"/>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29284426">
      <w:bodyDiv w:val="1"/>
      <w:marLeft w:val="0"/>
      <w:marRight w:val="0"/>
      <w:marTop w:val="0"/>
      <w:marBottom w:val="0"/>
      <w:divBdr>
        <w:top w:val="none" w:sz="0" w:space="0" w:color="auto"/>
        <w:left w:val="none" w:sz="0" w:space="0" w:color="auto"/>
        <w:bottom w:val="none" w:sz="0" w:space="0" w:color="auto"/>
        <w:right w:val="none" w:sz="0" w:space="0" w:color="auto"/>
      </w:divBdr>
      <w:divsChild>
        <w:div w:id="987319312">
          <w:marLeft w:val="547"/>
          <w:marRight w:val="0"/>
          <w:marTop w:val="0"/>
          <w:marBottom w:val="0"/>
          <w:divBdr>
            <w:top w:val="none" w:sz="0" w:space="0" w:color="auto"/>
            <w:left w:val="none" w:sz="0" w:space="0" w:color="auto"/>
            <w:bottom w:val="none" w:sz="0" w:space="0" w:color="auto"/>
            <w:right w:val="none" w:sz="0" w:space="0" w:color="auto"/>
          </w:divBdr>
        </w:div>
        <w:div w:id="451096599">
          <w:marLeft w:val="1166"/>
          <w:marRight w:val="0"/>
          <w:marTop w:val="0"/>
          <w:marBottom w:val="0"/>
          <w:divBdr>
            <w:top w:val="none" w:sz="0" w:space="0" w:color="auto"/>
            <w:left w:val="none" w:sz="0" w:space="0" w:color="auto"/>
            <w:bottom w:val="none" w:sz="0" w:space="0" w:color="auto"/>
            <w:right w:val="none" w:sz="0" w:space="0" w:color="auto"/>
          </w:divBdr>
        </w:div>
        <w:div w:id="902299841">
          <w:marLeft w:val="547"/>
          <w:marRight w:val="0"/>
          <w:marTop w:val="0"/>
          <w:marBottom w:val="0"/>
          <w:divBdr>
            <w:top w:val="none" w:sz="0" w:space="0" w:color="auto"/>
            <w:left w:val="none" w:sz="0" w:space="0" w:color="auto"/>
            <w:bottom w:val="none" w:sz="0" w:space="0" w:color="auto"/>
            <w:right w:val="none" w:sz="0" w:space="0" w:color="auto"/>
          </w:divBdr>
        </w:div>
        <w:div w:id="836381475">
          <w:marLeft w:val="1166"/>
          <w:marRight w:val="0"/>
          <w:marTop w:val="0"/>
          <w:marBottom w:val="0"/>
          <w:divBdr>
            <w:top w:val="none" w:sz="0" w:space="0" w:color="auto"/>
            <w:left w:val="none" w:sz="0" w:space="0" w:color="auto"/>
            <w:bottom w:val="none" w:sz="0" w:space="0" w:color="auto"/>
            <w:right w:val="none" w:sz="0" w:space="0" w:color="auto"/>
          </w:divBdr>
        </w:div>
        <w:div w:id="125589397">
          <w:marLeft w:val="1800"/>
          <w:marRight w:val="0"/>
          <w:marTop w:val="0"/>
          <w:marBottom w:val="0"/>
          <w:divBdr>
            <w:top w:val="none" w:sz="0" w:space="0" w:color="auto"/>
            <w:left w:val="none" w:sz="0" w:space="0" w:color="auto"/>
            <w:bottom w:val="none" w:sz="0" w:space="0" w:color="auto"/>
            <w:right w:val="none" w:sz="0" w:space="0" w:color="auto"/>
          </w:divBdr>
        </w:div>
        <w:div w:id="396903124">
          <w:marLeft w:val="1166"/>
          <w:marRight w:val="0"/>
          <w:marTop w:val="0"/>
          <w:marBottom w:val="0"/>
          <w:divBdr>
            <w:top w:val="none" w:sz="0" w:space="0" w:color="auto"/>
            <w:left w:val="none" w:sz="0" w:space="0" w:color="auto"/>
            <w:bottom w:val="none" w:sz="0" w:space="0" w:color="auto"/>
            <w:right w:val="none" w:sz="0" w:space="0" w:color="auto"/>
          </w:divBdr>
        </w:div>
        <w:div w:id="619729527">
          <w:marLeft w:val="547"/>
          <w:marRight w:val="0"/>
          <w:marTop w:val="0"/>
          <w:marBottom w:val="0"/>
          <w:divBdr>
            <w:top w:val="none" w:sz="0" w:space="0" w:color="auto"/>
            <w:left w:val="none" w:sz="0" w:space="0" w:color="auto"/>
            <w:bottom w:val="none" w:sz="0" w:space="0" w:color="auto"/>
            <w:right w:val="none" w:sz="0" w:space="0" w:color="auto"/>
          </w:divBdr>
        </w:div>
        <w:div w:id="146364864">
          <w:marLeft w:val="1166"/>
          <w:marRight w:val="0"/>
          <w:marTop w:val="0"/>
          <w:marBottom w:val="0"/>
          <w:divBdr>
            <w:top w:val="none" w:sz="0" w:space="0" w:color="auto"/>
            <w:left w:val="none" w:sz="0" w:space="0" w:color="auto"/>
            <w:bottom w:val="none" w:sz="0" w:space="0" w:color="auto"/>
            <w:right w:val="none" w:sz="0" w:space="0" w:color="auto"/>
          </w:divBdr>
        </w:div>
      </w:divsChild>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99014802">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1959739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1433264">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32437998">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97332492">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5210520">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03718-7247-4C96-9D61-A2326A54B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3002</Words>
  <Characters>17112</Characters>
  <Application>Microsoft Office Word</Application>
  <DocSecurity>0</DocSecurity>
  <Lines>142</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20074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정재훈/선임연구원/미래기술센터 C&amp;M표준(연)5G무선통신표준Task(jhoon.chung@lge.com)</cp:lastModifiedBy>
  <cp:revision>2</cp:revision>
  <cp:lastPrinted>2019-08-16T06:32:00Z</cp:lastPrinted>
  <dcterms:created xsi:type="dcterms:W3CDTF">2023-05-15T05:58:00Z</dcterms:created>
  <dcterms:modified xsi:type="dcterms:W3CDTF">2023-05-15T05:58:00Z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